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2846070" cy="651510"/>
            <wp:effectExtent b="0" l="0" r="0" t="0"/>
            <wp:docPr descr="eloneralogoinc" id="6" name="image1.jpg"/>
            <a:graphic>
              <a:graphicData uri="http://schemas.openxmlformats.org/drawingml/2006/picture">
                <pic:pic>
                  <pic:nvPicPr>
                    <pic:cNvPr descr="eloneralogoinc" id="0" name="image1.jpg"/>
                    <pic:cNvPicPr preferRelativeResize="0"/>
                  </pic:nvPicPr>
                  <pic:blipFill>
                    <a:blip r:embed="rId7"/>
                    <a:srcRect b="0" l="0" r="0" t="0"/>
                    <a:stretch>
                      <a:fillRect/>
                    </a:stretch>
                  </pic:blipFill>
                  <pic:spPr>
                    <a:xfrm>
                      <a:off x="0" y="0"/>
                      <a:ext cx="2846070" cy="6515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rtl w:val="0"/>
        </w:rPr>
        <w:t xml:space="preserve">Complaints and Grievances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7 </w:t>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and dealing with complaints and grievances at Elonera Pre School</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to be followed in investigating complaints and grievances.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This policy does not address complaints relating to staff grievances or employment matters. The relevant awards provide information on the management of such issues. </w:t>
      </w:r>
    </w:p>
    <w:p w:rsidR="00000000" w:rsidDel="00000000" w:rsidP="00000000" w:rsidRDefault="00000000" w:rsidRPr="00000000" w14:paraId="00000009">
      <w:pPr>
        <w:pStyle w:val="Heading1"/>
        <w:rPr/>
      </w:pPr>
      <w:r w:rsidDel="00000000" w:rsidR="00000000" w:rsidRPr="00000000">
        <w:rPr>
          <w:rtl w:val="0"/>
        </w:rPr>
        <w:t xml:space="preserve">Policy statement</w:t>
      </w:r>
    </w:p>
    <w:p w:rsidR="00000000" w:rsidDel="00000000" w:rsidP="00000000" w:rsidRDefault="00000000" w:rsidRPr="00000000" w14:paraId="0000000A">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 is committed to:</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environment of mutual respect and open communication, where the expression of opinions is encouraged</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legislative and statutory requirements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disputes, complaints and complainants with fairness and equity</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mechanisms to promote prompt, efficient and satisfactory resolution of complaints and grievances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w:t>
      </w:r>
    </w:p>
    <w:p w:rsidR="00000000" w:rsidDel="00000000" w:rsidP="00000000" w:rsidRDefault="00000000" w:rsidRPr="00000000" w14:paraId="00000011">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Elonera Pre School.</w:t>
      </w:r>
    </w:p>
    <w:p w:rsidR="00000000" w:rsidDel="00000000" w:rsidP="00000000" w:rsidRDefault="00000000" w:rsidRPr="00000000" w14:paraId="00000013">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rPr/>
      </w:pPr>
      <w:r w:rsidDel="00000000" w:rsidR="00000000" w:rsidRPr="00000000">
        <w:rPr>
          <w:rtl w:val="0"/>
        </w:rPr>
        <w:t xml:space="preserve">Background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or grievances may be received from anyone who comes in contact with Elonera Pre School including parents/guardians, volunteers, students, members of the local community and other agencies.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complaint or grievance has been assessed as 'notifiable', the Approved Provider must notify Department of Education and Early Childhood Development (DEECD) of the complaint or grievance. The Approved Provider will investigate the complaint or grievance and take any actions deemed necessary, in addition to responding to requests from and assisting with any investigation by DEECD.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may be occasions when the complainant reports the complaint or grievance directly to DEECD. If DEECD then notifies the Approved Provider about a complaint they have received, the Approved Provider will still have responsibility for investigating and dealing with the complaint or grievance as outlined in this policy, in addition to co-operating with any investigation by DEECD.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DEECD will investigate all complaints and grievances it receives about a service, where it is alleged that the health, safety or wellbeing of any child within the service may have been compromised, or that there may have been a contravention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pStyle w:val="Heading4"/>
        <w:rPr/>
      </w:pPr>
      <w:r w:rsidDel="00000000" w:rsidR="00000000" w:rsidRPr="00000000">
        <w:rPr>
          <w:rtl w:val="0"/>
        </w:rPr>
        <w:t xml:space="preserve">Legislation and standards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 (Vic)</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174(2)(b)</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168(2)(o) and 176(2)(b)</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Information Act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Standard 7.3: Administrative systems enable the effective management of a quality service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454" w:right="0" w:hanging="22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7.3.4: Processes are in place to ensure that all grievances and complaints are addressed, investigated fairly and documented in a timely manner</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Regulations 2013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5693410" cy="623570"/>
                <wp:effectExtent b="0" l="0" r="0" t="0"/>
                <wp:wrapSquare wrapText="bothSides" distB="0" distT="0" distL="114300" distR="114300"/>
                <wp:docPr id="5" name=""/>
                <a:graphic>
                  <a:graphicData uri="http://schemas.microsoft.com/office/word/2010/wordprocessingShape">
                    <wps:wsp>
                      <wps:cNvSpPr/>
                      <wps:cNvPr id="2" name="Shape 2"/>
                      <wps:spPr>
                        <a:xfrm>
                          <a:off x="2504058" y="3472978"/>
                          <a:ext cx="5683885" cy="614045"/>
                        </a:xfrm>
                        <a:prstGeom prst="rect">
                          <a:avLst/>
                        </a:prstGeom>
                        <a:solidFill>
                          <a:srgbClr val="DDDDDD"/>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75.9999942779541"/>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p>
                          <w:p w:rsidR="00000000" w:rsidDel="00000000" w:rsidP="00000000" w:rsidRDefault="00000000" w:rsidRPr="00000000">
                            <w:pPr>
                              <w:spacing w:after="0" w:before="0" w:line="240"/>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5693410" cy="62357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93410" cy="623570"/>
                        </a:xfrm>
                        <a:prstGeom prst="rect"/>
                        <a:ln/>
                      </pic:spPr>
                    </pic:pic>
                  </a:graphicData>
                </a:graphic>
              </wp:anchor>
            </w:drawing>
          </mc:Fallback>
        </mc:AlternateContent>
      </w:r>
    </w:p>
    <w:p w:rsidR="00000000" w:rsidDel="00000000" w:rsidP="00000000" w:rsidRDefault="00000000" w:rsidRPr="00000000" w14:paraId="00000026">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 (including general and notifiable complaints).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do not include staff, industrial or employment matters, occupational health and safety matters (unless related to the safety of the children) and issues related to the legal business entity, such as the incorporated association or co-operative.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Complaints and Grievances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 procedure: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method used to resolve complaints, disputes or matters of concern through an agreed resolution process.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general complaint may address any aspect of the service e.g. a lost clothing item or the service's fees. Services do not have to inform DET, but the complaint must be dealt with as soon as is practicable to avoid escalation of the issue.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Grievance: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grievance is a formal statement of complaint that cannot be addressed immediately and involves matters of a more serious nature e.g. the service is in breach of a policy or the service did not meet the care expectations of a family.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Mediator: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(neutral party) who attempts to reconcile differences between disputants.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attempt to bring about a peaceful settlement or compromise between disputants through the objective intervention of a neutral party.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complaint that alleges a breach of the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If the Approved Provider is unsure whether the matter is a notifiable complaint, it is good practice to contact DET for confirmation. Written reports to DET must include:</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event or incident</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person who initially made the complaint</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appropriate, the name of the child concerned and the condition of the child, including a medical or incident report (where relevant)</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a nominated member of the Grievances Subcommittee/investigator</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relevant information.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notification of complaints must be submitted using the appropriate forms, which can be found on the ACECQA website: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Serious incident: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(sample form available on the ACECQA website) as soon as possible and within 24 hours of the incident. The Regulatory Authority (DET) must be notified within 24 hours of a serious incident occurring at the service (Regulation 176(2)(a)). Records are required to be retained for the periods specified in Regulation 183.  </w:t>
      </w:r>
    </w:p>
    <w:p w:rsidR="00000000" w:rsidDel="00000000" w:rsidP="00000000" w:rsidRDefault="00000000" w:rsidRPr="00000000" w14:paraId="00000039">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A">
      <w:pPr>
        <w:pStyle w:val="Heading4"/>
        <w:rPr/>
      </w:pPr>
      <w:r w:rsidDel="00000000" w:rsidR="00000000" w:rsidRPr="00000000">
        <w:rPr>
          <w:rtl w:val="0"/>
        </w:rPr>
        <w:t xml:space="preserve">Sources</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ACECQA: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Education and Training Development (DET) – Regional Office details are available under ‘Contact Us’ on the DET website: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Management Manual: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www.elaa.org.au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Education and Training Development) is available under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 service providers on the DET website: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pStyle w:val="Heading4"/>
        <w:rPr/>
      </w:pPr>
      <w:r w:rsidDel="00000000" w:rsidR="00000000" w:rsidRPr="00000000">
        <w:rPr>
          <w:rtl w:val="0"/>
        </w:rPr>
        <w:t xml:space="preserve">Service policies</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46">
      <w:pPr>
        <w:pStyle w:val="Heading1"/>
        <w:rPr/>
      </w:pPr>
      <w:r w:rsidDel="00000000" w:rsidR="00000000" w:rsidRPr="00000000">
        <w:rPr>
          <w:rtl w:val="0"/>
        </w:rPr>
        <w:t xml:space="preserve">Procedures</w:t>
      </w:r>
    </w:p>
    <w:p w:rsidR="00000000" w:rsidDel="00000000" w:rsidP="00000000" w:rsidRDefault="00000000" w:rsidRPr="00000000" w14:paraId="00000047">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familiar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service policies and constitution, and complaints and grievances policy and procedures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preventing and addressing potential concerns before they become formal complaints/grievances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174" w:right="0" w:hanging="227.000000000000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name and telephone number of the Responsible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whom complaints and grievances may be addressed are displayed prominently at the main entrance of the service (Regulation173(2)b))</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address and telephone number of the Authorised Officer at the DET regional office are displayed prominently at the main entrance of the service (Regulation 173(2)(e))</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advising parents/guardians and any other new members of [Service Name] of the complaints and grievances policy and procedures upon enrolment</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this policy is available for inspection at the service at all times (Regulation 171)</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and committed to, the principles of communicating and sharing information with service employees, members and volunteers</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all complaints and grievances in the most appropriate manner and at the earliest opportunity</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treating all complainants fairly and equitably</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ensuring that staff record complaints and grievances along with outcomes</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maintaining confidentiality at all times (Regulations 181, 183)</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a Grievances Subcommittee or appointing an investigator to investigate and resolve grievances (refer to Attachment 1 – Sample terms of reference for a Grievances Subcommittee/investigator)</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referring notifiable complaints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grievances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complaints that are unable to be resolved appropriately and in a timely manner to the Grievances Subcommittee/investigator</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DET in writing within 24 hours of receiving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(Act 174(4), Regulation 176(2)(b))</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recommendations from the Grievances Subcommittee/investigator and taking appropriate action.</w:t>
      </w:r>
    </w:p>
    <w:p w:rsidR="00000000" w:rsidDel="00000000" w:rsidP="00000000" w:rsidRDefault="00000000" w:rsidRPr="00000000" w14:paraId="00000058">
      <w:pPr>
        <w:pStyle w:val="Heading4"/>
        <w:rPr/>
      </w:pPr>
      <w:r w:rsidDel="00000000" w:rsidR="00000000" w:rsidRPr="00000000">
        <w:rPr>
          <w:rtl w:val="0"/>
        </w:rPr>
        <w:t xml:space="preserve">The Nominated Supervisor, Certified Supervisors, educators and other staff are responsible for:</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and resolving issues as they arise where practicable</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professionalism and integrity at all times</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minor complaints directly with the party involved as a first step towards resolution (the parties are encouraged to discuss the matter professionally and openly work together to achieve a desired outcome)</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complainants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recording all complaints and grievances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if the complaint escalates and becomes a grievance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is unable to be resolved appropriately in a timely manner</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as requested by the Approved Provider e.g. written reports relating to the grievance</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maintaining confidentiality at all times (Regulations 181, 183)</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co-operatively with the Approved Provider and DET in any investigations related to grievances about Elonera Pre School], it's programs or staff.</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065">
      <w:pPr>
        <w:pStyle w:val="Heading4"/>
        <w:rPr/>
      </w:pPr>
      <w:r w:rsidDel="00000000" w:rsidR="00000000" w:rsidRPr="00000000">
        <w:rPr>
          <w:rtl w:val="0"/>
        </w:rPr>
        <w:t xml:space="preserve">Parents/guardians are responsible for:</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a complaint directly with the person involved, in an attempt to resolve the matter without recourse to the complaints and grievances procedures</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(preferably in writing) any concerns relating to the management or operation of the service as soon as is practicable</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any unresolved issues or serious concerns directly with the Approved Provider, via the Nominated Supervisor/educator or through the Grievances Subcommittee/investigator</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complete confidentiality at all times</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requests to meet with the Grievances Subcommittee and/or provide relevant information when requested in relation to complaints and grievances.</w:t>
      </w:r>
    </w:p>
    <w:p w:rsidR="00000000" w:rsidDel="00000000" w:rsidP="00000000" w:rsidRDefault="00000000" w:rsidRPr="00000000" w14:paraId="0000006B">
      <w:pPr>
        <w:pStyle w:val="Heading4"/>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6C">
      <w:pPr>
        <w:pStyle w:val="Heading1"/>
        <w:rPr/>
      </w:pPr>
      <w:r w:rsidDel="00000000" w:rsidR="00000000" w:rsidRPr="00000000">
        <w:rPr>
          <w:rtl w:val="0"/>
        </w:rPr>
        <w:t xml:space="preserve">Evaluation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complaints and grievances as recorded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assess whether satisfactory resolutions have been achieved</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effectiveness of the policy and procedures to ensure that all complaints have been dealt with in a fair and timely manner</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74">
      <w:pPr>
        <w:pStyle w:val="Heading1"/>
        <w:rPr/>
      </w:pPr>
      <w:r w:rsidDel="00000000" w:rsidR="00000000" w:rsidRPr="00000000">
        <w:rPr>
          <w:rtl w:val="0"/>
        </w:rPr>
        <w:t xml:space="preserve">Attachments</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Sample terms of reference for a Grievances Subcommittee/investigator</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Dealing with complaints and grievances</w:t>
      </w:r>
    </w:p>
    <w:p w:rsidR="00000000" w:rsidDel="00000000" w:rsidP="00000000" w:rsidRDefault="00000000" w:rsidRPr="00000000" w14:paraId="00000077">
      <w:pPr>
        <w:pStyle w:val="Heading1"/>
        <w:rPr/>
      </w:pPr>
      <w:r w:rsidDel="00000000" w:rsidR="00000000" w:rsidRPr="00000000">
        <w:rPr>
          <w:rtl w:val="0"/>
        </w:rPr>
        <w:t xml:space="preserve">Authorisation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adopted by the Committee of Management of Elonera Pre School on 19/10/16</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adopted by the Committee of Management of Elonera Pre School on 17/10/19</w:t>
      </w:r>
    </w:p>
    <w:p w:rsidR="00000000" w:rsidDel="00000000" w:rsidP="00000000" w:rsidRDefault="00000000" w:rsidRPr="00000000" w14:paraId="0000007A">
      <w:pPr>
        <w:spacing w:before="6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This policy was reviewed and adopted by the Committee of Management of Elonera Pre School on 14/10/21</w:t>
      </w:r>
      <w:r w:rsidDel="00000000" w:rsidR="00000000" w:rsidRPr="00000000">
        <w:rPr>
          <w:rtl w:val="0"/>
        </w:rPr>
      </w:r>
    </w:p>
    <w:p w:rsidR="00000000" w:rsidDel="00000000" w:rsidP="00000000" w:rsidRDefault="00000000" w:rsidRPr="00000000" w14:paraId="0000007B">
      <w:pPr>
        <w:pStyle w:val="Heading1"/>
        <w:rPr/>
      </w:pPr>
      <w:bookmarkStart w:colFirst="0" w:colLast="0" w:name="_heading=h.gjdgxs" w:id="0"/>
      <w:bookmarkEnd w:id="0"/>
      <w:r w:rsidDel="00000000" w:rsidR="00000000" w:rsidRPr="00000000">
        <w:rPr>
          <w:rtl w:val="0"/>
        </w:rPr>
        <w:t xml:space="preserve">Review date:    </w:t>
      </w:r>
      <w:r w:rsidDel="00000000" w:rsidR="00000000" w:rsidRPr="00000000">
        <w:rPr>
          <w:b w:val="0"/>
          <w:rtl w:val="0"/>
        </w:rPr>
        <w:t xml:space="preserve">October 2023</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terms of reference for a Grievances Subcommittee/investigator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ESTABLISHED: </w:t>
      </w:r>
    </w:p>
    <w:p w:rsidR="00000000" w:rsidDel="00000000" w:rsidP="00000000" w:rsidRDefault="00000000" w:rsidRPr="00000000" w14:paraId="00000080">
      <w:pPr>
        <w:pStyle w:val="Heading3"/>
        <w:rPr/>
      </w:pPr>
      <w:r w:rsidDel="00000000" w:rsidR="00000000" w:rsidRPr="00000000">
        <w:rPr>
          <w:rtl w:val="0"/>
        </w:rPr>
        <w:t xml:space="preserve">Purpose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Grievances Subcommittee has been established by the Approved Provider of [Service Name] to investigate and resolve grievances lodged with [Service Name].</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investigator/panel of investigators has been appointed by the Approved Provider of [Service Name] to investigate and resolve grievances lodged with [Service Name].</w:t>
      </w:r>
    </w:p>
    <w:p w:rsidR="00000000" w:rsidDel="00000000" w:rsidP="00000000" w:rsidRDefault="00000000" w:rsidRPr="00000000" w14:paraId="00000084">
      <w:pPr>
        <w:pStyle w:val="Heading3"/>
        <w:rPr/>
      </w:pPr>
      <w:r w:rsidDel="00000000" w:rsidR="00000000" w:rsidRPr="00000000">
        <w:rPr>
          <w:rtl w:val="0"/>
        </w:rPr>
        <w:t xml:space="preserve">Membership</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Three people are nominated by the Approved Provider, and membership must include a minimum of one Responsible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3"/>
        <w:rPr/>
      </w:pPr>
      <w:r w:rsidDel="00000000" w:rsidR="00000000" w:rsidRPr="00000000">
        <w:rPr>
          <w:rtl w:val="0"/>
        </w:rPr>
        <w:t xml:space="preserve">Time period nominated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Grievances Subcommittee/investigator shall be appointed for . </w:t>
      </w:r>
    </w:p>
    <w:p w:rsidR="00000000" w:rsidDel="00000000" w:rsidP="00000000" w:rsidRDefault="00000000" w:rsidRPr="00000000" w14:paraId="0000008B">
      <w:pPr>
        <w:pStyle w:val="Heading3"/>
        <w:rPr/>
      </w:pPr>
      <w:r w:rsidDel="00000000" w:rsidR="00000000" w:rsidRPr="00000000">
        <w:rPr>
          <w:rtl w:val="0"/>
        </w:rPr>
        <w:t xml:space="preserve">Meeting requirements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subcommittee convenor/investigator is responsible for organising meetings as soon as is practicable after receiving a complaint or grievance.</w:t>
      </w:r>
    </w:p>
    <w:p w:rsidR="00000000" w:rsidDel="00000000" w:rsidP="00000000" w:rsidRDefault="00000000" w:rsidRPr="00000000" w14:paraId="0000008D">
      <w:pPr>
        <w:pStyle w:val="Heading3"/>
        <w:rPr/>
      </w:pPr>
      <w:r w:rsidDel="00000000" w:rsidR="00000000" w:rsidRPr="00000000">
        <w:rPr>
          <w:rtl w:val="0"/>
        </w:rPr>
        <w:t xml:space="preserve">Decision-making authority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subcommittee/investigator is required to fulfil only those tasks and functions as outlined in these terms of reference.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may decide to alter the decision-making authority of the subcommittee/investigator at any time.</w:t>
      </w:r>
    </w:p>
    <w:p w:rsidR="00000000" w:rsidDel="00000000" w:rsidP="00000000" w:rsidRDefault="00000000" w:rsidRPr="00000000" w14:paraId="00000090">
      <w:pPr>
        <w:pStyle w:val="Heading3"/>
        <w:rPr/>
      </w:pPr>
      <w:r w:rsidDel="00000000" w:rsidR="00000000" w:rsidRPr="00000000">
        <w:rPr>
          <w:rtl w:val="0"/>
        </w:rPr>
        <w:t xml:space="preserve">Budget allocation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expenditure to be incurred by the subcommittee/investigator must be approved by the Approved Provider. A request in writing must be submitted by the subcommittee/investigator.</w:t>
      </w:r>
    </w:p>
    <w:p w:rsidR="00000000" w:rsidDel="00000000" w:rsidP="00000000" w:rsidRDefault="00000000" w:rsidRPr="00000000" w14:paraId="00000092">
      <w:pPr>
        <w:pStyle w:val="Heading3"/>
        <w:rPr/>
      </w:pPr>
      <w:r w:rsidDel="00000000" w:rsidR="00000000" w:rsidRPr="00000000">
        <w:rPr>
          <w:rtl w:val="0"/>
        </w:rPr>
        <w:t xml:space="preserve">Reporting requirements of the committee</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subcommittee/investigator is required to keep minutes of all meetings held. These are to be kept in a secure file.</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convenor is required to present a written report to the Approved Provider about the grievance, ensuring that privacy and confidentiality are maintained according to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5">
      <w:pPr>
        <w:pStyle w:val="Heading3"/>
        <w:rPr/>
      </w:pPr>
      <w:r w:rsidDel="00000000" w:rsidR="00000000" w:rsidRPr="00000000">
        <w:rPr>
          <w:rtl w:val="0"/>
        </w:rPr>
        <w:t xml:space="preserve">Tasks and functions of the Grievances Subcommittee/investigator</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complaints in a timely manner</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Investigating all complaints received in a discreet and responsible manner</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procedures outlined in Attachment 2 – Dealing with complaints and grievances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Acting fairly and equitably, and maintaining confidentiality at all times</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if a complaint is assessed as notifiable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000000000000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 Approved Provider informed about complaints that have been received and the outcomes of investigations</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 Approved Provider with recommendations for action</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decisions are based on the evidence that has been gathered</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terms of reference of the Grievances Subcommittee/investigator at commencement and on completion of their term. Suggestions for alterations are to be presented to and approved by the Approved Provider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Dealing with complaints and grievances</w:t>
      </w:r>
    </w:p>
    <w:p w:rsidR="00000000" w:rsidDel="00000000" w:rsidP="00000000" w:rsidRDefault="00000000" w:rsidRPr="00000000" w14:paraId="000000A2">
      <w:pPr>
        <w:pStyle w:val="Heading3"/>
        <w:rPr/>
      </w:pPr>
      <w:r w:rsidDel="00000000" w:rsidR="00000000" w:rsidRPr="00000000">
        <w:rPr>
          <w:rtl w:val="0"/>
        </w:rPr>
        <w:t xml:space="preserve">Dealing with a complaint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complaint is received, the person to whom the complaint is addressed will:</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complainant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the complainant to resolve the complaint with the person directly, or to submit their complaint in writing</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 the complaint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together with the outcome</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regard to all meetings/discussions in relation to a complaint</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Approved Provider if the complaint escalates and becomes a grievance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is unable to be resolved appropriately in a timely manner.</w:t>
      </w:r>
    </w:p>
    <w:p w:rsidR="00000000" w:rsidDel="00000000" w:rsidP="00000000" w:rsidRDefault="00000000" w:rsidRPr="00000000" w14:paraId="000000A9">
      <w:pPr>
        <w:pStyle w:val="Heading3"/>
        <w:rPr/>
      </w:pPr>
      <w:r w:rsidDel="00000000" w:rsidR="00000000" w:rsidRPr="00000000">
        <w:rPr>
          <w:rtl w:val="0"/>
        </w:rPr>
        <w:t xml:space="preserve">Dealing with a grievance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formal complaint or grievance is lodged with the service:</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staff member receiving the formal complaint or grievance will record all relevant details regarding the grievance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immediately inform the Approved Provider</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must inform the service's Grievances Subcommittee, if there is one, or appoint an investigator(s) to investigate the grievance</w:t>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Grievances Subcommittee/investigator will assess the grievance to determine if it is a notifiable grievance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grievance is notifiable, the Approved Provider will be responsible for notifying DET. This must be in writing within 24 hours of receiving the complaint (Regulation 176(2)(b))</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written report to DET needs to be submitted using the appropriate forms from ACECQA and will include:</w:t>
      </w:r>
    </w:p>
    <w:p w:rsidR="00000000" w:rsidDel="00000000" w:rsidP="00000000" w:rsidRDefault="00000000" w:rsidRPr="00000000" w14:paraId="000000B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event or incident</w:t>
      </w:r>
    </w:p>
    <w:p w:rsidR="00000000" w:rsidDel="00000000" w:rsidP="00000000" w:rsidRDefault="00000000" w:rsidRPr="00000000" w14:paraId="000000B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person who initially made the complaint</w:t>
      </w:r>
    </w:p>
    <w:p w:rsidR="00000000" w:rsidDel="00000000" w:rsidP="00000000" w:rsidRDefault="00000000" w:rsidRPr="00000000" w14:paraId="000000B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appropriate, the name of the child concerned and the condition of the child, including a medical or incident report (where relevant)</w:t>
      </w:r>
    </w:p>
    <w:p w:rsidR="00000000" w:rsidDel="00000000" w:rsidP="00000000" w:rsidRDefault="00000000" w:rsidRPr="00000000" w14:paraId="000000B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a nominated member of the Grievances Subcommittee/investigator</w:t>
      </w:r>
    </w:p>
    <w:p w:rsidR="00000000" w:rsidDel="00000000" w:rsidP="00000000" w:rsidRDefault="00000000" w:rsidRPr="00000000" w14:paraId="000000B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relevant information</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Approved Provider is unsure if the complaint is a notifiable complaint, it is good practice to contact DET for confirmation.</w:t>
      </w:r>
    </w:p>
    <w:p w:rsidR="00000000" w:rsidDel="00000000" w:rsidP="00000000" w:rsidRDefault="00000000" w:rsidRPr="00000000" w14:paraId="000000B6">
      <w:pPr>
        <w:pStyle w:val="Heading3"/>
        <w:rPr/>
      </w:pPr>
      <w:r w:rsidDel="00000000" w:rsidR="00000000" w:rsidRPr="00000000">
        <w:rPr>
          <w:rtl w:val="0"/>
        </w:rPr>
        <w:t xml:space="preserve">Grievances Subcommittee/investigator responsibilities and procedures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 grievance being lodged, the Grievances Subcommittee/investigator will:</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convene as soon as possible to deal with the grievance in a timely manner</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disclose any conflict of interest relating to any member of the subcommittee/panel of investigators. Such members must stand aside from the investigation and subsequent processes</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the nature and the details of the grievance</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which service policies (if any) the grievance involves</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Approved Provider if their involvement is required under any other service policies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if the grievance is a notifiable complaint (refer to </w:t>
      </w: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Definitions</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inform the complainant of the requirements to notify DET of the grievance and explain the role that DET may take in</w:t>
      </w:r>
    </w:p>
    <w:sectPr>
      <w:footerReference r:id="rId14" w:type="even"/>
      <w:pgSz w:h="16838" w:w="11906" w:orient="portrait"/>
      <w:pgMar w:bottom="1418" w:top="1021" w:left="1418" w:right="1418" w:header="567"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9300.0" w:type="dxa"/>
      <w:jc w:val="left"/>
      <w:tblInd w:w="0.0" w:type="dxa"/>
      <w:tblBorders>
        <w:bottom w:color="bfbfbf" w:space="0" w:sz="4" w:val="single"/>
      </w:tblBorders>
      <w:tblLayout w:type="fixed"/>
      <w:tblLook w:val="0400"/>
    </w:tblPr>
    <w:tblGrid>
      <w:gridCol w:w="374"/>
      <w:gridCol w:w="8926"/>
      <w:tblGridChange w:id="0">
        <w:tblGrid>
          <w:gridCol w:w="374"/>
          <w:gridCol w:w="8926"/>
        </w:tblGrid>
      </w:tblGridChange>
    </w:tblGrid>
    <w:tr>
      <w:trPr>
        <w:cantSplit w:val="0"/>
        <w:tblHeader w:val="0"/>
      </w:trPr>
      <w:tc>
        <w:tcPr>
          <w:tcBorders>
            <w:bottom w:color="000000" w:space="0" w:sz="0" w:val="nil"/>
            <w:right w:color="bfbfbf" w:space="0" w:sz="4" w:val="single"/>
          </w:tcBorders>
        </w:tcPr>
        <w:p w:rsidR="00000000" w:rsidDel="00000000" w:rsidP="00000000" w:rsidRDefault="00000000" w:rsidRPr="00000000" w14:paraId="000000BF">
          <w:pPr>
            <w:spacing w:after="0" w:lineRule="auto"/>
            <w:jc w:val="right"/>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Pr>
            <w:fldChar w:fldCharType="begin"/>
            <w:instrText xml:space="preserve">PAGE</w:instrText>
            <w:fldChar w:fldCharType="separate"/>
            <w:fldChar w:fldCharType="end"/>
          </w:r>
          <w:r w:rsidDel="00000000" w:rsidR="00000000" w:rsidRPr="00000000">
            <w:rPr>
              <w:rtl w:val="0"/>
            </w:rPr>
          </w:r>
        </w:p>
      </w:tc>
      <w:tc>
        <w:tcPr>
          <w:tcBorders>
            <w:left w:color="bfbfbf" w:space="0" w:sz="4" w:val="single"/>
            <w:bottom w:color="000000" w:space="0" w:sz="0" w:val="nil"/>
          </w:tcBorders>
        </w:tcPr>
        <w:p w:rsidR="00000000" w:rsidDel="00000000" w:rsidP="00000000" w:rsidRDefault="00000000" w:rsidRPr="00000000" w14:paraId="000000C0">
          <w:pPr>
            <w:spacing w:after="0" w:lineRule="auto"/>
            <w:rPr>
              <w:rFonts w:ascii="Calibri" w:cs="Calibri" w:eastAsia="Calibri" w:hAnsi="Calibri"/>
              <w:color w:val="595959"/>
              <w:sz w:val="24"/>
              <w:szCs w:val="24"/>
            </w:rPr>
          </w:pPr>
          <w:r w:rsidDel="00000000" w:rsidR="00000000" w:rsidRPr="00000000">
            <w:rPr>
              <w:rFonts w:ascii="Calibri" w:cs="Calibri" w:eastAsia="Calibri" w:hAnsi="Calibri"/>
              <w:b w:val="1"/>
              <w:smallCaps w:val="1"/>
              <w:color w:val="595959"/>
              <w:sz w:val="24"/>
              <w:szCs w:val="24"/>
              <w:rtl w:val="0"/>
            </w:rPr>
            <w:t xml:space="preserve">COMPLAINTS AND GRIEVANCES  POLICY</w:t>
          </w: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174" w:hanging="227.0000000000009"/>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lang w:eastAsia="en-AU"/>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lang w:eastAsia="en-AU"/>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lang w:eastAsia="en-AU"/>
    </w:rPr>
  </w:style>
  <w:style w:type="paragraph" w:styleId="Heading4">
    <w:name w:val="heading 4"/>
    <w:next w:val="BodyText"/>
    <w:link w:val="Heading4Char"/>
    <w:qFormat w:val="1"/>
    <w:rsid w:val="007275F1"/>
    <w:pPr>
      <w:keepNext w:val="1"/>
      <w:spacing w:after="60" w:before="140" w:line="230" w:lineRule="atLeast"/>
      <w:outlineLvl w:val="3"/>
    </w:pPr>
    <w:rPr>
      <w:rFonts w:cs="Arial" w:eastAsia="Times New Roman"/>
      <w:b w:val="1"/>
      <w:bCs w:val="1"/>
      <w:color w:val="000000"/>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071F5"/>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rPr>
  </w:style>
  <w:style w:type="character" w:styleId="TitleChar" w:customStyle="1">
    <w:name w:val="Title Char"/>
    <w:basedOn w:val="DefaultParagraphFont"/>
    <w:link w:val="Title"/>
    <w:uiPriority w:val="1"/>
    <w:rsid w:val="002071F5"/>
    <w:rPr>
      <w:rFonts w:cs="Arial" w:eastAsia="Times New Roman"/>
      <w:b w:val="1"/>
      <w:bCs w:val="1"/>
      <w:caps w:val="1"/>
      <w:color w:val="000000"/>
      <w:sz w:val="28"/>
      <w:szCs w:val="28"/>
      <w:lang w:bidi="ar-SA" w:eastAsia="en-US" w:val="en-AU"/>
    </w:rPr>
  </w:style>
  <w:style w:type="paragraph" w:styleId="Bullets2" w:customStyle="1">
    <w:name w:val="Bullets 2"/>
    <w:qFormat w:val="1"/>
    <w:rsid w:val="00636744"/>
    <w:pPr>
      <w:numPr>
        <w:ilvl w:val="1"/>
        <w:numId w:val="3"/>
      </w:numPr>
      <w:spacing w:after="60" w:line="260" w:lineRule="atLeast"/>
    </w:pPr>
    <w:rPr>
      <w:szCs w:val="19"/>
      <w:lang w:eastAsia="en-AU"/>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rPr>
  </w:style>
  <w:style w:type="paragraph" w:styleId="BodyText">
    <w:name w:val="Body Text"/>
    <w:link w:val="BodyTextChar"/>
    <w:qFormat w:val="1"/>
    <w:rsid w:val="00C25A43"/>
    <w:pPr>
      <w:spacing w:after="170" w:before="60" w:line="260" w:lineRule="atLeast"/>
    </w:pPr>
    <w:rPr>
      <w:szCs w:val="19"/>
      <w:lang w:eastAsia="en-AU"/>
    </w:rPr>
  </w:style>
  <w:style w:type="character" w:styleId="BodyTextChar" w:customStyle="1">
    <w:name w:val="Body Text Char"/>
    <w:basedOn w:val="DefaultParagraphFont"/>
    <w:link w:val="BodyText"/>
    <w:rsid w:val="00C25A43"/>
    <w:rPr>
      <w:szCs w:val="19"/>
      <w:lang w:bidi="ar-SA" w:eastAsia="en-AU" w:val="en-AU"/>
    </w:rPr>
  </w:style>
  <w:style w:type="character" w:styleId="Heading2Char" w:customStyle="1">
    <w:name w:val="Heading 2 Char"/>
    <w:basedOn w:val="DefaultParagraphFont"/>
    <w:link w:val="Heading2"/>
    <w:rsid w:val="00636744"/>
    <w:rPr>
      <w:rFonts w:cs="Arial" w:eastAsia="Times New Roman"/>
      <w:b w:val="1"/>
      <w:bCs w:val="1"/>
      <w:caps w:val="1"/>
      <w:color w:val="000000"/>
      <w:sz w:val="22"/>
      <w:szCs w:val="22"/>
      <w:lang w:bidi="ar-SA" w:eastAsia="en-AU" w:val="en-AU"/>
    </w:rPr>
  </w:style>
  <w:style w:type="character" w:styleId="Heading3Char" w:customStyle="1">
    <w:name w:val="Heading 3 Char"/>
    <w:basedOn w:val="DefaultParagraphFont"/>
    <w:link w:val="Heading3"/>
    <w:rsid w:val="00F06A87"/>
    <w:rPr>
      <w:rFonts w:cs="Arial" w:eastAsia="Times New Roman"/>
      <w:b w:val="1"/>
      <w:bCs w:val="1"/>
      <w:caps w:val="1"/>
      <w:color w:val="000000"/>
      <w:lang w:bidi="ar-SA" w:eastAsia="en-AU" w:val="en-AU"/>
    </w:rPr>
  </w:style>
  <w:style w:type="character" w:styleId="Heading4Char" w:customStyle="1">
    <w:name w:val="Heading 4 Char"/>
    <w:basedOn w:val="DefaultParagraphFont"/>
    <w:link w:val="Heading4"/>
    <w:rsid w:val="007275F1"/>
    <w:rPr>
      <w:rFonts w:cs="Arial" w:eastAsia="Times New Roman"/>
      <w:b w:val="1"/>
      <w:bCs w:val="1"/>
      <w:color w:val="000000"/>
      <w:lang w:bidi="ar-SA" w:eastAsia="en-AU" w:val="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lang w:eastAsia="en-AU"/>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rPr>
  </w:style>
  <w:style w:type="paragraph" w:styleId="Bullets3" w:customStyle="1">
    <w:name w:val="Bullets 3"/>
    <w:qFormat w:val="1"/>
    <w:rsid w:val="00636744"/>
    <w:pPr>
      <w:numPr>
        <w:ilvl w:val="2"/>
        <w:numId w:val="3"/>
      </w:numPr>
      <w:spacing w:after="60" w:line="260" w:lineRule="atLeast"/>
      <w:ind w:left="681" w:hanging="227"/>
    </w:pPr>
    <w:rPr>
      <w:szCs w:val="19"/>
      <w:lang w:eastAsia="en-AU"/>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02CA"/>
    <w:rPr>
      <w:rFonts w:ascii="Tahoma" w:cs="Tahoma" w:hAnsi="Tahoma"/>
      <w:sz w:val="16"/>
      <w:szCs w:val="16"/>
    </w:rPr>
  </w:style>
  <w:style w:type="character" w:styleId="Hyperlink">
    <w:name w:val="Hyperlink"/>
    <w:uiPriority w:val="99"/>
    <w:unhideWhenUsed w:val="1"/>
    <w:rsid w:val="00406F82"/>
    <w:rPr>
      <w:color w:val="0000ff"/>
      <w:u w:val="single"/>
    </w:rPr>
  </w:style>
  <w:style w:type="paragraph" w:styleId="ListParagraph">
    <w:name w:val="List Paragraph"/>
    <w:basedOn w:val="Normal"/>
    <w:uiPriority w:val="34"/>
    <w:qFormat w:val="1"/>
    <w:locked w:val="1"/>
    <w:rsid w:val="00406F82"/>
    <w:pPr>
      <w:spacing w:after="200" w:line="276" w:lineRule="auto"/>
      <w:ind w:left="720"/>
      <w:contextualSpacing w:val="1"/>
    </w:pPr>
    <w:rPr>
      <w:rFonts w:ascii="Corbel" w:eastAsia="Calibri" w:hAnsi="Corbel"/>
      <w:sz w:val="22"/>
      <w:szCs w:val="22"/>
    </w:rPr>
  </w:style>
  <w:style w:type="character" w:styleId="PageNumber">
    <w:name w:val="page number"/>
    <w:basedOn w:val="DefaultParagraphFont"/>
    <w:uiPriority w:val="99"/>
    <w:semiHidden w:val="1"/>
    <w:unhideWhenUsed w:val="1"/>
    <w:rsid w:val="00CC6B47"/>
  </w:style>
  <w:style w:type="table" w:styleId="LightShading-Accent1">
    <w:name w:val="Light Shading Accent 1"/>
    <w:basedOn w:val="TableNormal"/>
    <w:uiPriority w:val="60"/>
    <w:rsid w:val="00CC6B47"/>
    <w:rPr>
      <w:rFonts w:ascii="Cambria" w:eastAsia="MS Mincho" w:hAnsi="Cambria"/>
      <w:color w:val="365f91"/>
      <w:sz w:val="22"/>
      <w:szCs w:val="22"/>
      <w:lang w:eastAsia="zh-TW" w:val="en-US"/>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paragraph" w:styleId="TOC1">
    <w:name w:val="toc 1"/>
    <w:basedOn w:val="Normal"/>
    <w:next w:val="Normal"/>
    <w:autoRedefine w:val="1"/>
    <w:uiPriority w:val="39"/>
    <w:unhideWhenUsed w:val="1"/>
    <w:rsid w:val="000206A5"/>
  </w:style>
  <w:style w:type="paragraph" w:styleId="TOC2">
    <w:name w:val="toc 2"/>
    <w:basedOn w:val="Normal"/>
    <w:next w:val="Normal"/>
    <w:autoRedefine w:val="1"/>
    <w:uiPriority w:val="39"/>
    <w:unhideWhenUsed w:val="1"/>
    <w:rsid w:val="000206A5"/>
    <w:pPr>
      <w:ind w:left="190"/>
    </w:pPr>
  </w:style>
  <w:style w:type="paragraph" w:styleId="TOC3">
    <w:name w:val="toc 3"/>
    <w:basedOn w:val="Normal"/>
    <w:next w:val="Normal"/>
    <w:autoRedefine w:val="1"/>
    <w:uiPriority w:val="39"/>
    <w:unhideWhenUsed w:val="1"/>
    <w:rsid w:val="000206A5"/>
    <w:pPr>
      <w:ind w:left="380"/>
    </w:pPr>
  </w:style>
  <w:style w:type="paragraph" w:styleId="TOC4">
    <w:name w:val="toc 4"/>
    <w:basedOn w:val="Normal"/>
    <w:next w:val="Normal"/>
    <w:autoRedefine w:val="1"/>
    <w:uiPriority w:val="39"/>
    <w:unhideWhenUsed w:val="1"/>
    <w:rsid w:val="000206A5"/>
    <w:pPr>
      <w:ind w:left="570"/>
    </w:pPr>
  </w:style>
  <w:style w:type="paragraph" w:styleId="TOC5">
    <w:name w:val="toc 5"/>
    <w:basedOn w:val="Normal"/>
    <w:next w:val="Normal"/>
    <w:autoRedefine w:val="1"/>
    <w:uiPriority w:val="39"/>
    <w:unhideWhenUsed w:val="1"/>
    <w:rsid w:val="000206A5"/>
    <w:pPr>
      <w:ind w:left="760"/>
    </w:pPr>
  </w:style>
  <w:style w:type="paragraph" w:styleId="TOC6">
    <w:name w:val="toc 6"/>
    <w:basedOn w:val="Normal"/>
    <w:next w:val="Normal"/>
    <w:autoRedefine w:val="1"/>
    <w:uiPriority w:val="39"/>
    <w:unhideWhenUsed w:val="1"/>
    <w:rsid w:val="000206A5"/>
    <w:pPr>
      <w:ind w:left="950"/>
    </w:pPr>
  </w:style>
  <w:style w:type="paragraph" w:styleId="TOC7">
    <w:name w:val="toc 7"/>
    <w:basedOn w:val="Normal"/>
    <w:next w:val="Normal"/>
    <w:autoRedefine w:val="1"/>
    <w:uiPriority w:val="39"/>
    <w:unhideWhenUsed w:val="1"/>
    <w:rsid w:val="000206A5"/>
    <w:pPr>
      <w:ind w:left="1140"/>
    </w:pPr>
  </w:style>
  <w:style w:type="paragraph" w:styleId="TOC8">
    <w:name w:val="toc 8"/>
    <w:basedOn w:val="Normal"/>
    <w:next w:val="Normal"/>
    <w:autoRedefine w:val="1"/>
    <w:uiPriority w:val="39"/>
    <w:unhideWhenUsed w:val="1"/>
    <w:rsid w:val="000206A5"/>
    <w:pPr>
      <w:ind w:left="1330"/>
    </w:pPr>
  </w:style>
  <w:style w:type="paragraph" w:styleId="TOC9">
    <w:name w:val="toc 9"/>
    <w:basedOn w:val="Normal"/>
    <w:next w:val="Normal"/>
    <w:autoRedefine w:val="1"/>
    <w:uiPriority w:val="39"/>
    <w:unhideWhenUsed w:val="1"/>
    <w:rsid w:val="000206A5"/>
    <w:pPr>
      <w:ind w:left="1520"/>
    </w:pPr>
  </w:style>
  <w:style w:type="paragraph" w:styleId="NoSpacing">
    <w:name w:val="No Spacing"/>
    <w:link w:val="NoSpacingChar"/>
    <w:qFormat w:val="1"/>
    <w:locked w:val="1"/>
    <w:rsid w:val="000206A5"/>
    <w:rPr>
      <w:rFonts w:ascii="PMingLiU" w:hAnsi="PMingLiU" w:cstheme="minorBidi" w:eastAsiaTheme="minorEastAsia"/>
      <w:sz w:val="22"/>
      <w:szCs w:val="22"/>
      <w:lang w:val="en-US"/>
    </w:rPr>
  </w:style>
  <w:style w:type="character" w:styleId="NoSpacingChar" w:customStyle="1">
    <w:name w:val="No Spacing Char"/>
    <w:basedOn w:val="DefaultParagraphFont"/>
    <w:link w:val="NoSpacing"/>
    <w:rsid w:val="000206A5"/>
    <w:rPr>
      <w:rFonts w:ascii="PMingLiU" w:hAnsi="PMingLiU" w:cstheme="minorBidi" w:eastAsiaTheme="minorEastAsia"/>
      <w:sz w:val="22"/>
      <w:szCs w:val="2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 TargetMode="External"/><Relationship Id="rId10" Type="http://schemas.openxmlformats.org/officeDocument/2006/relationships/hyperlink" Target="http://www.acecqa.gov.au" TargetMode="External"/><Relationship Id="rId13" Type="http://schemas.openxmlformats.org/officeDocument/2006/relationships/hyperlink" Target="http://www.education.vic.gov.au" TargetMode="External"/><Relationship Id="rId12" Type="http://schemas.openxmlformats.org/officeDocument/2006/relationships/hyperlink" Target="http://www.elaa.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ecqa.gov.a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yPoahc+y59TrnENUuBcuWFsUg==">AMUW2mUUv/sY7vNdQiwFozjaXVW5NAnaHyLHJEXekipCPJy3jmIBnKmf4yjlYnqY+wEh3fNwqmF7JbePNOMUv3Wy46ya1eUQggs98eGE6nyhyfH/izI4nzHq1ZTffoocd9x0266m+bUB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2016-10-21T02:45:00Z</dcterms:created>
  <dc:creator>Lisa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