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drawing>
          <wp:inline distB="0" distT="0" distL="0" distR="0">
            <wp:extent cx="5759450" cy="1322070"/>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59450" cy="13220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t xml:space="preserve">Governance and Management of the Service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72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Mandatory – Quality Area 7</w:t>
      </w:r>
    </w:p>
    <w:p w:rsidR="00000000" w:rsidDel="00000000" w:rsidP="00000000" w:rsidRDefault="00000000" w:rsidRPr="00000000" w14:paraId="00000005">
      <w:pPr>
        <w:pStyle w:val="Heading1"/>
        <w:rPr/>
      </w:pPr>
      <w:r w:rsidDel="00000000" w:rsidR="00000000" w:rsidRPr="00000000">
        <w:rPr>
          <w:rtl w:val="0"/>
        </w:rPr>
        <w:t xml:space="preserve">Purpose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outlines the duties, roles and responsibilities of the Committee of Management</w:t>
      </w:r>
      <w:r w:rsidDel="00000000" w:rsidR="00000000" w:rsidRPr="00000000">
        <w:rPr>
          <w:rFonts w:ascii="Arial" w:cs="Arial" w:eastAsia="Arial" w:hAnsi="Arial"/>
          <w:b w:val="0"/>
          <w:i w:val="0"/>
          <w:smallCaps w:val="0"/>
          <w:strike w:val="0"/>
          <w:color w:val="40404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/Board of Elonera Pre School</w:t>
      </w:r>
    </w:p>
    <w:p w:rsidR="00000000" w:rsidDel="00000000" w:rsidP="00000000" w:rsidRDefault="00000000" w:rsidRPr="00000000" w14:paraId="00000007">
      <w:pPr>
        <w:pStyle w:val="Heading1"/>
        <w:rPr/>
      </w:pPr>
      <w:r w:rsidDel="00000000" w:rsidR="00000000" w:rsidRPr="00000000">
        <w:rPr>
          <w:rtl w:val="0"/>
        </w:rPr>
        <w:t xml:space="preserve">Policy statement</w:t>
      </w:r>
    </w:p>
    <w:p w:rsidR="00000000" w:rsidDel="00000000" w:rsidP="00000000" w:rsidRDefault="00000000" w:rsidRPr="00000000" w14:paraId="00000008">
      <w:pPr>
        <w:pStyle w:val="Heading2"/>
        <w:numPr>
          <w:ilvl w:val="0"/>
          <w:numId w:val="3"/>
        </w:numPr>
        <w:ind w:left="720" w:hanging="360"/>
        <w:rPr/>
      </w:pPr>
      <w:r w:rsidDel="00000000" w:rsidR="00000000" w:rsidRPr="00000000">
        <w:rPr>
          <w:rtl w:val="0"/>
        </w:rPr>
        <w:t xml:space="preserve">Values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Elonera Pre School is committed to ensuring that there are appropriate systems and processes in place to enable: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governance and management of the organisation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accountability to its stakeholders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compliance with all regulatory and legislative requirements placed on the organisation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organisation to remain solvent and comply with all its financial obligations.</w:t>
      </w:r>
    </w:p>
    <w:p w:rsidR="00000000" w:rsidDel="00000000" w:rsidP="00000000" w:rsidRDefault="00000000" w:rsidRPr="00000000" w14:paraId="0000000E">
      <w:pPr>
        <w:pStyle w:val="Heading2"/>
        <w:numPr>
          <w:ilvl w:val="0"/>
          <w:numId w:val="3"/>
        </w:numPr>
        <w:ind w:left="720" w:hanging="360"/>
        <w:rPr/>
      </w:pPr>
      <w:r w:rsidDel="00000000" w:rsidR="00000000" w:rsidRPr="00000000">
        <w:rPr>
          <w:rtl w:val="0"/>
        </w:rPr>
        <w:t xml:space="preserve">Scope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This policy applies to the Approved Provider, the Committee of Management/Board of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Elonera Pre School and all subcommittees of the Committee of Management/Board.</w:t>
      </w:r>
    </w:p>
    <w:p w:rsidR="00000000" w:rsidDel="00000000" w:rsidP="00000000" w:rsidRDefault="00000000" w:rsidRPr="00000000" w14:paraId="00000010">
      <w:pPr>
        <w:pStyle w:val="Heading2"/>
        <w:numPr>
          <w:ilvl w:val="0"/>
          <w:numId w:val="3"/>
        </w:numPr>
        <w:ind w:left="720" w:hanging="360"/>
        <w:rPr/>
      </w:pPr>
      <w:r w:rsidDel="00000000" w:rsidR="00000000" w:rsidRPr="00000000">
        <w:rPr>
          <w:rtl w:val="0"/>
        </w:rPr>
        <w:t xml:space="preserve">Background and legislation</w:t>
      </w:r>
    </w:p>
    <w:p w:rsidR="00000000" w:rsidDel="00000000" w:rsidP="00000000" w:rsidRDefault="00000000" w:rsidRPr="00000000" w14:paraId="00000011">
      <w:pPr>
        <w:pStyle w:val="Heading4"/>
        <w:rPr/>
      </w:pPr>
      <w:r w:rsidDel="00000000" w:rsidR="00000000" w:rsidRPr="00000000">
        <w:rPr>
          <w:rtl w:val="0"/>
        </w:rPr>
        <w:t xml:space="preserve">Background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governance of an organisation is concerned with the systems and processes that ensure the overall direction, effectiveness, supervision and accountability of a service. Members of the Committee of Management/Board are responsible for setting the directions for the service and ensuring that its goals and objectives are met in line with its constitution, and all legal and regulatory requirements governing the operation of the business are met.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the National Law and National Regulations, early childhood services are required to have policies and procedures in place relating to the governance and management of the service, including confidentiality of records (refer to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Privacy and Confidentiality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pStyle w:val="Heading4"/>
        <w:rPr/>
      </w:pPr>
      <w:r w:rsidDel="00000000" w:rsidR="00000000" w:rsidRPr="00000000">
        <w:rPr>
          <w:rtl w:val="0"/>
        </w:rPr>
        <w:t xml:space="preserve">Legislation and standards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Relevant legislation and standards include but are not limited 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Associations Incorporation Reform Act 2012 (Vic),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applicable to the service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Corporations Act 2001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applicable to the service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Education and Care Services National Law Act 2010</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Education and Care Services National Regulations 2011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Regulation 168(2)(l)</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National Quality Standard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Quality Area 7: Leadership and Service Management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567" w:right="0" w:hanging="283"/>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Standard 7.3: Administrative systems enable the effective management of a quality service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393700</wp:posOffset>
                </wp:positionV>
                <wp:extent cx="5774055" cy="756920"/>
                <wp:effectExtent b="0" l="0" r="0" t="0"/>
                <wp:wrapSquare wrapText="bothSides" distB="0" distT="0" distL="114300" distR="114300"/>
                <wp:docPr id="3" name=""/>
                <a:graphic>
                  <a:graphicData uri="http://schemas.microsoft.com/office/word/2010/wordprocessingShape">
                    <wps:wsp>
                      <wps:cNvSpPr/>
                      <wps:cNvPr id="2" name="Shape 2"/>
                      <wps:spPr>
                        <a:xfrm>
                          <a:off x="2463735" y="3406303"/>
                          <a:ext cx="5764530" cy="747395"/>
                        </a:xfrm>
                        <a:prstGeom prst="rect">
                          <a:avLst/>
                        </a:prstGeom>
                        <a:solidFill>
                          <a:srgbClr val="DDDDDD"/>
                        </a:solidFill>
                        <a:ln>
                          <a:noFill/>
                        </a:ln>
                      </wps:spPr>
                      <wps:txbx>
                        <w:txbxContent>
                          <w:p w:rsidR="00000000" w:rsidDel="00000000" w:rsidP="00000000" w:rsidRDefault="00000000" w:rsidRPr="00000000">
                            <w:pPr>
                              <w:spacing w:after="17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9"/>
                                <w:vertAlign w:val="baseline"/>
                              </w:rPr>
                              <w:t xml:space="preserve">The most current amendments to listed legislation can be found at:</w:t>
                            </w:r>
                          </w:p>
                          <w:p w:rsidR="00000000" w:rsidDel="00000000" w:rsidP="00000000" w:rsidRDefault="00000000" w:rsidRPr="00000000">
                            <w:pPr>
                              <w:spacing w:after="200" w:before="0" w:line="275.9999942779541"/>
                              <w:ind w:left="587.0000076293945" w:right="0" w:firstLine="227.00000762939453"/>
                              <w:jc w:val="left"/>
                              <w:textDirection w:val="btLr"/>
                            </w:pPr>
                            <w:r w:rsidDel="00000000" w:rsidR="00000000" w:rsidRPr="00000000">
                              <w:rPr>
                                <w:rFonts w:ascii="Arial" w:cs="Arial" w:eastAsia="Arial" w:hAnsi="Arial"/>
                                <w:b w:val="0"/>
                                <w:i w:val="0"/>
                                <w:smallCaps w:val="0"/>
                                <w:strike w:val="0"/>
                                <w:color w:val="000000"/>
                                <w:sz w:val="19"/>
                                <w:vertAlign w:val="baseline"/>
                              </w:rPr>
                            </w:r>
                            <w:r w:rsidDel="00000000" w:rsidR="00000000" w:rsidRPr="00000000">
                              <w:rPr>
                                <w:rFonts w:ascii="Arial" w:cs="Arial" w:eastAsia="Arial" w:hAnsi="Arial"/>
                                <w:b w:val="0"/>
                                <w:i w:val="0"/>
                                <w:smallCaps w:val="0"/>
                                <w:strike w:val="0"/>
                                <w:color w:val="000000"/>
                                <w:sz w:val="19"/>
                                <w:vertAlign w:val="baseline"/>
                              </w:rPr>
                              <w:t xml:space="preserve">Victorian Legislation – Victorian Law Today: </w:t>
                            </w:r>
                            <w:r w:rsidDel="00000000" w:rsidR="00000000" w:rsidRPr="00000000">
                              <w:rPr>
                                <w:rFonts w:ascii="Arial" w:cs="Arial" w:eastAsia="Arial" w:hAnsi="Arial"/>
                                <w:b w:val="0"/>
                                <w:i w:val="0"/>
                                <w:smallCaps w:val="0"/>
                                <w:strike w:val="0"/>
                                <w:color w:val="0000ff"/>
                                <w:sz w:val="19"/>
                                <w:u w:val="single"/>
                                <w:vertAlign w:val="baseline"/>
                              </w:rPr>
                              <w:t xml:space="preserve">http://www.legislation.vic.gov.au/ </w:t>
                            </w:r>
                          </w:p>
                          <w:p w:rsidR="00000000" w:rsidDel="00000000" w:rsidP="00000000" w:rsidRDefault="00000000" w:rsidRPr="00000000">
                            <w:pPr>
                              <w:spacing w:after="200" w:before="0" w:line="275.9999942779541"/>
                              <w:ind w:left="587.0000076293945" w:right="0" w:firstLine="227.00000762939453"/>
                              <w:jc w:val="left"/>
                              <w:textDirection w:val="btLr"/>
                            </w:pPr>
                            <w:r w:rsidDel="00000000" w:rsidR="00000000" w:rsidRPr="00000000">
                              <w:rPr>
                                <w:rFonts w:ascii="Arial" w:cs="Arial" w:eastAsia="Arial" w:hAnsi="Arial"/>
                                <w:b w:val="0"/>
                                <w:i w:val="0"/>
                                <w:smallCaps w:val="0"/>
                                <w:strike w:val="0"/>
                                <w:color w:val="000000"/>
                                <w:sz w:val="19"/>
                                <w:vertAlign w:val="baseline"/>
                              </w:rPr>
                            </w:r>
                            <w:r w:rsidDel="00000000" w:rsidR="00000000" w:rsidRPr="00000000">
                              <w:rPr>
                                <w:rFonts w:ascii="Arial" w:cs="Arial" w:eastAsia="Arial" w:hAnsi="Arial"/>
                                <w:b w:val="0"/>
                                <w:i w:val="0"/>
                                <w:smallCaps w:val="0"/>
                                <w:strike w:val="0"/>
                                <w:color w:val="000000"/>
                                <w:sz w:val="19"/>
                                <w:vertAlign w:val="baseline"/>
                              </w:rPr>
                              <w:t xml:space="preserve">Commonwealth Legislation – ComLaw: </w:t>
                            </w:r>
                            <w:r w:rsidDel="00000000" w:rsidR="00000000" w:rsidRPr="00000000">
                              <w:rPr>
                                <w:rFonts w:ascii="Arial" w:cs="Arial" w:eastAsia="Arial" w:hAnsi="Arial"/>
                                <w:b w:val="0"/>
                                <w:i w:val="0"/>
                                <w:smallCaps w:val="0"/>
                                <w:strike w:val="0"/>
                                <w:color w:val="0000ff"/>
                                <w:sz w:val="19"/>
                                <w:u w:val="single"/>
                                <w:vertAlign w:val="baseline"/>
                              </w:rPr>
                              <w:t xml:space="preserve">http://www.comlaw.gov.au/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393700</wp:posOffset>
                </wp:positionV>
                <wp:extent cx="5774055" cy="75692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74055" cy="756920"/>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454" w:right="0" w:hanging="22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2"/>
        <w:numPr>
          <w:ilvl w:val="0"/>
          <w:numId w:val="3"/>
        </w:numPr>
        <w:ind w:left="720" w:hanging="360"/>
        <w:rPr/>
      </w:pPr>
      <w:r w:rsidDel="00000000" w:rsidR="00000000" w:rsidRPr="00000000">
        <w:rPr>
          <w:rtl w:val="0"/>
        </w:rPr>
        <w:t xml:space="preserve">Definitions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defined in this section relate specifically to this policy. For commonly used terms e.g. Approved Provider, Nominated Supervisor, Regulatory Authority etc. refer to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General Definitions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section of this manual.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Actual conflict of interest: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where there is a real conflict between a Committee of Management/Board member’s responsibilities and their private interests.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Conflict of interest: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interest that may affect, or may appear reasonably likely to affect, the judgement or conduct of a member (or members) of the Committee of Management/Board or subcommittee, or may impair their independence or loyalty to the service. A conflict of interest can arise from avoiding personal losses as well as gaining personal advantage, whether financial or otherwise, and may not only involve the member of the Committee of Management/Board or subcommittee, but also their relatives, friends or business associates.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Ethical practice: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standard of behaviour that the service deems acceptable in providing their services.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process by which organisations are directed, controlled and held to account. It encompasses authority, accountability, stewardship, leadership, directions and control exercised in the organisation (Australian National Audit Office, 1999).</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Anything that can have an impact on an individual or a group.</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Perceived conflict of interest: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Arises where a third party could form the view that a Committee of Management/Board member’s private interests could improperly influence the performance of their duties on the Committee of Management/Board, now or in the future.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Potential conflict of interest: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Arises where a Committee of Management/Board member has private interests that could conflict with their responsibilities.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Private interests: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Includes not only a Committee of Management/Board member’s own personal, professional or business interests, but also those of their relatives, friends or business associates.</w:t>
      </w:r>
    </w:p>
    <w:p w:rsidR="00000000" w:rsidDel="00000000" w:rsidP="00000000" w:rsidRDefault="00000000" w:rsidRPr="00000000" w14:paraId="00000027">
      <w:pPr>
        <w:pStyle w:val="Heading2"/>
        <w:numPr>
          <w:ilvl w:val="0"/>
          <w:numId w:val="3"/>
        </w:numPr>
        <w:ind w:left="720" w:hanging="360"/>
        <w:rPr/>
      </w:pPr>
      <w:r w:rsidDel="00000000" w:rsidR="00000000" w:rsidRPr="00000000">
        <w:rPr>
          <w:rtl w:val="0"/>
        </w:rPr>
        <w:t xml:space="preserve">Sources and related policies</w:t>
      </w:r>
    </w:p>
    <w:p w:rsidR="00000000" w:rsidDel="00000000" w:rsidP="00000000" w:rsidRDefault="00000000" w:rsidRPr="00000000" w14:paraId="00000028">
      <w:pPr>
        <w:pStyle w:val="Heading4"/>
        <w:rPr/>
      </w:pPr>
      <w:r w:rsidDel="00000000" w:rsidR="00000000" w:rsidRPr="00000000">
        <w:rPr>
          <w:rtl w:val="0"/>
        </w:rPr>
        <w:t xml:space="preserve">Sources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ELAA Early Childhood Management Manual, Version 2 2013</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Community: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www.ourcommunity.com.au</w:t>
        </w:r>
      </w:hyperlink>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Justice Connect: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http://www.justiceconnect.org.au/</w:t>
        </w:r>
      </w:hyperlink>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pStyle w:val="Heading4"/>
        <w:spacing w:before="170" w:lineRule="auto"/>
        <w:rPr/>
      </w:pPr>
      <w:r w:rsidDel="00000000" w:rsidR="00000000" w:rsidRPr="00000000">
        <w:rPr>
          <w:rtl w:val="0"/>
        </w:rPr>
        <w:t xml:space="preserve">Service policies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Code of Conduct Policy</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Complaints and Grievances Policy</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Privacy and Confidentiality Policy</w:t>
      </w:r>
    </w:p>
    <w:p w:rsidR="00000000" w:rsidDel="00000000" w:rsidP="00000000" w:rsidRDefault="00000000" w:rsidRPr="00000000" w14:paraId="00000030">
      <w:pPr>
        <w:pStyle w:val="Heading1"/>
        <w:rPr/>
      </w:pPr>
      <w:r w:rsidDel="00000000" w:rsidR="00000000" w:rsidRPr="00000000">
        <w:rPr>
          <w:rtl w:val="0"/>
        </w:rPr>
        <w:t xml:space="preserve">Procedures</w:t>
      </w:r>
    </w:p>
    <w:p w:rsidR="00000000" w:rsidDel="00000000" w:rsidP="00000000" w:rsidRDefault="00000000" w:rsidRPr="00000000" w14:paraId="00000031">
      <w:pPr>
        <w:pStyle w:val="Heading4"/>
        <w:rPr/>
      </w:pPr>
      <w:r w:rsidDel="00000000" w:rsidR="00000000" w:rsidRPr="00000000">
        <w:rPr>
          <w:rtl w:val="0"/>
        </w:rPr>
        <w:t xml:space="preserve">The Approved Provider is responsible for:</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the service has appropriate systems and policies in place for the effective governance and management of the service.</w:t>
      </w:r>
    </w:p>
    <w:p w:rsidR="00000000" w:rsidDel="00000000" w:rsidP="00000000" w:rsidRDefault="00000000" w:rsidRPr="00000000" w14:paraId="00000033">
      <w:pPr>
        <w:pStyle w:val="Heading1"/>
        <w:rPr/>
      </w:pPr>
      <w:r w:rsidDel="00000000" w:rsidR="00000000" w:rsidRPr="00000000">
        <w:rPr>
          <w:rtl w:val="0"/>
        </w:rPr>
        <w:t xml:space="preserve">Core elements of the governance model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are the core elements of the governance systems at Elonera Pre School for which the Committee of Management/Board is responsible:</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pStyle w:val="Heading4"/>
        <w:rPr/>
      </w:pPr>
      <w:r w:rsidDel="00000000" w:rsidR="00000000" w:rsidRPr="00000000">
        <w:rPr>
          <w:rtl w:val="0"/>
        </w:rPr>
        <w:t xml:space="preserve">Stewardship/custodianship</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service pursues its stated purpose and remains viable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budget and financial accountability to enable ongoing viability and making best use of the service’s resources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service manages risks appropriately.</w:t>
      </w:r>
    </w:p>
    <w:p w:rsidR="00000000" w:rsidDel="00000000" w:rsidP="00000000" w:rsidRDefault="00000000" w:rsidRPr="00000000" w14:paraId="0000003B">
      <w:pPr>
        <w:pStyle w:val="Heading4"/>
        <w:rPr/>
      </w:pPr>
      <w:r w:rsidDel="00000000" w:rsidR="00000000" w:rsidRPr="00000000">
        <w:rPr>
          <w:rtl w:val="0"/>
        </w:rPr>
        <w:t xml:space="preserve">Leadership, forward planning and guidance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leadership, forward planning and guidance to the service, particularly in relation to developing a strategic culture and directions.</w:t>
      </w:r>
    </w:p>
    <w:p w:rsidR="00000000" w:rsidDel="00000000" w:rsidP="00000000" w:rsidRDefault="00000000" w:rsidRPr="00000000" w14:paraId="0000003D">
      <w:pPr>
        <w:pStyle w:val="Heading4"/>
        <w:spacing w:before="170" w:lineRule="auto"/>
        <w:rPr/>
      </w:pPr>
      <w:r w:rsidDel="00000000" w:rsidR="00000000" w:rsidRPr="00000000">
        <w:rPr>
          <w:rtl w:val="0"/>
        </w:rPr>
        <w:t xml:space="preserve">Authority, accountability, and control</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 and oversee management including ensuring that good management practices and appropriate checks and balances are in place.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accountable to members of the service.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focus, integrity and quality of service.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Oversee legal functions and responsibilities.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Declare any actual, potential or perceived conflicts of interest (refer 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Definitions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Attachment 1 – Sample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Conflict of interest disclosure statement)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3">
      <w:pPr>
        <w:pStyle w:val="Heading1"/>
        <w:rPr/>
      </w:pPr>
      <w:r w:rsidDel="00000000" w:rsidR="00000000" w:rsidRPr="00000000">
        <w:rPr>
          <w:rtl w:val="0"/>
        </w:rPr>
        <w:t xml:space="preserve">Legal liabilities of members of the Committee of Management/Board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Committee of Management/Board at Elonera Pre School is responsible under the constitution to take all reasonable steps to ensure that the laws and regulations relating to the operation of the service are observed. Members of the Committee of Management/Board are responsible for ensuring that:</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adequate policies and procedures are in place to comply with the legislative and regulatory requirements placed on the service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appropriate systems are in place to monitor compliance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reasonable care and skill is exercised in fulfilling their roles as part of the governing body of the service</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act honestly, and with due care and diligence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do not use information they have access to, by virtue of being on the Committee of Management/Board improperly</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do not use their position on the Committee of Management/Board for personal gain or put individual interests ahead of responsibilities.</w:t>
      </w:r>
    </w:p>
    <w:p w:rsidR="00000000" w:rsidDel="00000000" w:rsidP="00000000" w:rsidRDefault="00000000" w:rsidRPr="00000000" w14:paraId="0000004B">
      <w:pPr>
        <w:pStyle w:val="Heading1"/>
        <w:rPr/>
      </w:pPr>
      <w:r w:rsidDel="00000000" w:rsidR="00000000" w:rsidRPr="00000000">
        <w:rPr>
          <w:rtl w:val="0"/>
        </w:rPr>
        <w:t xml:space="preserve">Responsibilities of the Committee of Management/Board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Committee of Management/Board of Elonera Pre School is responsible for:</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coherent aims and goals that reflect the interests, values and beliefs of the members and staff, and the stated aims of the service, and have a clear and agreed philosophy which guides business decisions and the work of the Committee of Management/Board and staff</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there is a sound framework of policies and procedures that complies with all legislative and regulatory requirements, and that enables the daily operation of the service to be geared towards the achievement of the service’s vision and mission</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establishing clearly defined roles and responsibilities for the members of the Committee of Management/Board, individually and as a collective, management and staff, and clearly articulate the relationship between the Committee of Management/Board, staff and members of the service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ethical standards and a code of conduct (refer 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Code of Conduct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which guide actions and decisions in a way that is transparent and consistent with the goals, values and beliefs of the service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undertaking strategic planning and risk assessment on a regular basis and having appropriate risk management strategies in place to manage risks faced by the service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the actions of and decisions made by the Committee of Management/Board are transparent and will help build confidence among members and stakeholders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reviewing the service’s budget and monitoring financial performance and management to ensure the service is solvent at all times, and has good financial strength</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approving annual financial statements and providing required reports to government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setting and maintaining appropriate delegations and internal controls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appointing senior staff (e.g. the CEO or Director, if the service is large) or all staff (if the service is small), and monitoring their performance</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evaluating and improving the performance of the Committee of Management/Board</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focusing on the strategic directions of the organisation and avoiding involvement in day-to-day operational decisions, particularly where the authority is delegated to senior management staff within the service.</w:t>
      </w:r>
    </w:p>
    <w:p w:rsidR="00000000" w:rsidDel="00000000" w:rsidP="00000000" w:rsidRDefault="00000000" w:rsidRPr="00000000" w14:paraId="00000059">
      <w:pPr>
        <w:pStyle w:val="Heading1"/>
        <w:rPr/>
      </w:pPr>
      <w:r w:rsidDel="00000000" w:rsidR="00000000" w:rsidRPr="00000000">
        <w:rPr>
          <w:rtl w:val="0"/>
        </w:rPr>
        <w:t xml:space="preserve">Confidentiality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members of the Committee of Management/Board and subcommittees who gain access to confidential, commercially-sensitive and other information of a similar nature, whether in the course of their work or otherwise, shall not disclose that information to anyone unless the disclosure of such information is required by law (refer 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Privacy and Confidentiality 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of the Committee of Management/Board and subcommittees shall respect the confidentiality of those documents and deliberations at Committee of Management/Board or subcommittee meetings, and shall not:</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disclose to anyone the confidential information acquired by virtue of their position on the Committee of Management/Board or subcommittee</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any information so acquired for their personal or financial benefit, or for the benefit of any other person</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permit any unauthorised person to inspect, or have access to, any confidential documents or other information.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17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obligation, placed on a member of the Committee of Management/Board or subcommittee, shall continue even after the individual has completed their term and is no longer on the Committee of Management/Board or subcommittee.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obligation to maintain confidentiality also applies to any person who is invited to any meetings of the Committee of Management/Board or subcommittee as an observer or in any other capacity.</w:t>
      </w:r>
    </w:p>
    <w:p w:rsidR="00000000" w:rsidDel="00000000" w:rsidP="00000000" w:rsidRDefault="00000000" w:rsidRPr="00000000" w14:paraId="00000061">
      <w:pPr>
        <w:pStyle w:val="Heading1"/>
        <w:rPr/>
      </w:pPr>
      <w:r w:rsidDel="00000000" w:rsidR="00000000" w:rsidRPr="00000000">
        <w:rPr>
          <w:rtl w:val="0"/>
        </w:rPr>
        <w:t xml:space="preserve">Ethical practice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principles will provide the ethical framework to guide the delivery of services at Elonera Pre School:</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treating colleagues, parents/guardians, children, suppliers, public and other stakeholders respectfully and professionally at all times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dealing courteously with those who hold differing opinions</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respecting cultural differences and diversity within the service, and making every effort to encourage and include all children and families in the community</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an open and transparent relationship with government, supporters and other funders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operating with honesty and integrity in all work</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open and transparent in making decisions and undertaking activities, and if that is not possible, explaining why</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to the standards set under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National Quality Framework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all applicable legislation as a minimum, and striving to continually improve the quality of the services delivered to the community</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disclosing conflicts of interest as soon as they arise and effectively managing them (refer to Attachment 1 – Sample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Conflict of interest disclosure statement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recognising the support and operational contributions of others in an appropriate manner</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assessing and minimising the adverse impacts of decisions and activities on the natural environment.</w:t>
      </w:r>
    </w:p>
    <w:p w:rsidR="00000000" w:rsidDel="00000000" w:rsidP="00000000" w:rsidRDefault="00000000" w:rsidRPr="00000000" w14:paraId="0000006D">
      <w:pPr>
        <w:pStyle w:val="Heading1"/>
        <w:rPr/>
      </w:pPr>
      <w:r w:rsidDel="00000000" w:rsidR="00000000" w:rsidRPr="00000000">
        <w:rPr>
          <w:rtl w:val="0"/>
        </w:rPr>
        <w:t xml:space="preserve">Managing conflicts of interest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Conflicts of interest, whether actual, potential or perceived (refer 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must be declared by all members of the Committee of Management/Board or subcommittee, and managed effectively to ensure integrity and transparency (refer to Attachment 1 – Sample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Conflict of interest disclosure statement)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 member of the Committee of Management/Board or subcommittee has a continuing responsibility to scrutinise their transactions, external business interests and relationships for potential conflicts and to make such disclosures in a timely manner as they arise.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process will be followed to manage any conflicts of interest:</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whenever there is a conflict of interest, as defined in this policy, the member concerned must notify the President of such conflict, as soon as possible after identifying the conflict</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member who is conflicted must not be present during the meeting of the Committee of Management/Board or subcommittee where the matter is being discussed, or participate in any decisions made on that matter. The member concerned must provide the Board or committee with any and all relevant information they possess on the particular matter</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minutes of the meeting must reflect that the conflict of interest was disclosed and appropriate processes followed to manage the conflict.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17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Conflict of interest disclosure statement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 to Attachment 1) must be completed by each member of the Committee of Management/Board and subcommittee upon his or her appointment and annually thereafter. If the information in this statement changes during the year, the member shall disclose the change to the President, and revise the disclosure statement accordingly.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violations of the requirement to disclose and manage conflicts shall be dealt with in accordance with the constitution of Elonera Pre School.</w:t>
      </w:r>
      <w:r w:rsidDel="00000000" w:rsidR="00000000" w:rsidRPr="00000000">
        <w:rPr>
          <w:rtl w:val="0"/>
        </w:rPr>
      </w:r>
    </w:p>
    <w:p w:rsidR="00000000" w:rsidDel="00000000" w:rsidP="00000000" w:rsidRDefault="00000000" w:rsidRPr="00000000" w14:paraId="00000076">
      <w:pPr>
        <w:pStyle w:val="Heading1"/>
        <w:rPr/>
      </w:pPr>
      <w:r w:rsidDel="00000000" w:rsidR="00000000" w:rsidRPr="00000000">
        <w:rPr>
          <w:rtl w:val="0"/>
        </w:rPr>
        <w:t xml:space="preserve">Evaluation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assess whether the values and purposes of the policy have been achieved, the Committee of Management/Board will:</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regularly seek feedback from everyone affected by the policy regarding its effectiveness </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 the implementation, compliance, complaints and incidents in relation to this policy</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the policy up to date with current legislation, research, policy and best practice</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 the policy and procedures as part of the service’s policy review cycle, or as required</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notify parents/guardians at least 14 days before making any changes to this policy or its procedures.</w:t>
      </w:r>
    </w:p>
    <w:p w:rsidR="00000000" w:rsidDel="00000000" w:rsidP="00000000" w:rsidRDefault="00000000" w:rsidRPr="00000000" w14:paraId="0000007D">
      <w:pPr>
        <w:spacing w:after="0" w:lineRule="auto"/>
        <w:rPr>
          <w:b w:val="1"/>
          <w:smallCaps w:val="1"/>
          <w:color w:val="000000"/>
          <w:sz w:val="24"/>
          <w:szCs w:val="24"/>
        </w:rPr>
      </w:pPr>
      <w:r w:rsidDel="00000000" w:rsidR="00000000" w:rsidRPr="00000000">
        <w:rPr>
          <w:rtl w:val="0"/>
        </w:rPr>
      </w:r>
    </w:p>
    <w:p w:rsidR="00000000" w:rsidDel="00000000" w:rsidP="00000000" w:rsidRDefault="00000000" w:rsidRPr="00000000" w14:paraId="0000007E">
      <w:pPr>
        <w:spacing w:after="0" w:lineRule="auto"/>
        <w:rPr>
          <w:b w:val="1"/>
          <w:smallCaps w:val="1"/>
          <w:color w:val="000000"/>
          <w:sz w:val="24"/>
          <w:szCs w:val="24"/>
        </w:rPr>
      </w:pPr>
      <w:r w:rsidDel="00000000" w:rsidR="00000000" w:rsidRPr="00000000">
        <w:rPr>
          <w:rtl w:val="0"/>
        </w:rPr>
      </w:r>
    </w:p>
    <w:p w:rsidR="00000000" w:rsidDel="00000000" w:rsidP="00000000" w:rsidRDefault="00000000" w:rsidRPr="00000000" w14:paraId="0000007F">
      <w:pPr>
        <w:spacing w:after="0" w:lineRule="auto"/>
        <w:rPr>
          <w:b w:val="1"/>
          <w:smallCaps w:val="1"/>
          <w:color w:val="000000"/>
          <w:sz w:val="24"/>
          <w:szCs w:val="24"/>
        </w:rPr>
      </w:pPr>
      <w:r w:rsidDel="00000000" w:rsidR="00000000" w:rsidRPr="00000000">
        <w:rPr>
          <w:rtl w:val="0"/>
        </w:rPr>
      </w:r>
    </w:p>
    <w:p w:rsidR="00000000" w:rsidDel="00000000" w:rsidP="00000000" w:rsidRDefault="00000000" w:rsidRPr="00000000" w14:paraId="00000080">
      <w:pPr>
        <w:spacing w:after="0" w:lineRule="auto"/>
        <w:rPr>
          <w:b w:val="1"/>
          <w:smallCaps w:val="1"/>
          <w:color w:val="000000"/>
          <w:sz w:val="24"/>
          <w:szCs w:val="24"/>
        </w:rPr>
      </w:pPr>
      <w:r w:rsidDel="00000000" w:rsidR="00000000" w:rsidRPr="00000000">
        <w:rPr>
          <w:rtl w:val="0"/>
        </w:rPr>
      </w:r>
    </w:p>
    <w:p w:rsidR="00000000" w:rsidDel="00000000" w:rsidP="00000000" w:rsidRDefault="00000000" w:rsidRPr="00000000" w14:paraId="00000081">
      <w:pPr>
        <w:pStyle w:val="Heading1"/>
        <w:rPr/>
      </w:pPr>
      <w:r w:rsidDel="00000000" w:rsidR="00000000" w:rsidRPr="00000000">
        <w:rPr>
          <w:rtl w:val="0"/>
        </w:rPr>
        <w:t xml:space="preserve">Attachments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681" w:right="0" w:hanging="227.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Attachment 1: Sample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Conflict of interest disclosure statement</w:t>
      </w:r>
      <w:r w:rsidDel="00000000" w:rsidR="00000000" w:rsidRPr="00000000">
        <w:rPr>
          <w:rtl w:val="0"/>
        </w:rPr>
      </w:r>
    </w:p>
    <w:p w:rsidR="00000000" w:rsidDel="00000000" w:rsidP="00000000" w:rsidRDefault="00000000" w:rsidRPr="00000000" w14:paraId="00000083">
      <w:pPr>
        <w:pStyle w:val="Heading1"/>
        <w:rPr/>
      </w:pPr>
      <w:r w:rsidDel="00000000" w:rsidR="00000000" w:rsidRPr="00000000">
        <w:rPr>
          <w:rtl w:val="0"/>
        </w:rPr>
        <w:t xml:space="preserve">Authorisation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was adopted by the Approved Provider of Elonera Pre School on 21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October 2016.</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was reviewed by the Approved Provider of Elonera Pre School on 17</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October 2018.</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was reviewed by the Approved Provider of Elonera Pre School on 17</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October 2019.</w:t>
      </w:r>
    </w:p>
    <w:p w:rsidR="00000000" w:rsidDel="00000000" w:rsidP="00000000" w:rsidRDefault="00000000" w:rsidRPr="00000000" w14:paraId="00000087">
      <w:pPr>
        <w:spacing w:before="60"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This policy was reviewed and adopted by the Committee of Management of Elonera Pre School on 14/10/21</w:t>
      </w:r>
      <w:r w:rsidDel="00000000" w:rsidR="00000000" w:rsidRPr="00000000">
        <w:rPr>
          <w:rtl w:val="0"/>
        </w:rPr>
      </w:r>
    </w:p>
    <w:p w:rsidR="00000000" w:rsidDel="00000000" w:rsidP="00000000" w:rsidRDefault="00000000" w:rsidRPr="00000000" w14:paraId="00000088">
      <w:pPr>
        <w:pStyle w:val="Heading1"/>
        <w:rPr>
          <w:b w:val="0"/>
        </w:rPr>
      </w:pPr>
      <w:bookmarkStart w:colFirst="0" w:colLast="0" w:name="_heading=h.gjdgxs" w:id="0"/>
      <w:bookmarkEnd w:id="0"/>
      <w:r w:rsidDel="00000000" w:rsidR="00000000" w:rsidRPr="00000000">
        <w:rPr>
          <w:rtl w:val="0"/>
        </w:rPr>
        <w:t xml:space="preserve">Review date: </w:t>
      </w:r>
      <w:r w:rsidDel="00000000" w:rsidR="00000000" w:rsidRPr="00000000">
        <w:rPr>
          <w:b w:val="0"/>
          <w:rtl w:val="0"/>
        </w:rPr>
        <w:t xml:space="preserve">Oct 2023</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Attachment 1</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72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Sample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Conflict of interest disclosure statement</w:t>
      </w:r>
    </w:p>
    <w:tbl>
      <w:tblPr>
        <w:tblStyle w:val="Table1"/>
        <w:tblW w:w="90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9"/>
        <w:gridCol w:w="4820"/>
        <w:tblGridChange w:id="0">
          <w:tblGrid>
            <w:gridCol w:w="4219"/>
            <w:gridCol w:w="4820"/>
          </w:tblGrid>
        </w:tblGridChange>
      </w:tblGrid>
      <w:tr>
        <w:trPr>
          <w:cantSplit w:val="0"/>
          <w:tblHeader w:val="0"/>
        </w:trPr>
        <w:tc>
          <w:tcPr>
            <w:shd w:fill="auto"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(in full):</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Postal address: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Position on Committee of Management/Board or subcommittee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Declaration:</w:t>
        <w:br w:type="textWrapping"/>
        <w:t xml:space="preserve">I hereby declare the following conflict of interest: (Note: tick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applicable boxes)</w:t>
      </w:r>
      <w:r w:rsidDel="00000000" w:rsidR="00000000" w:rsidRPr="00000000">
        <w:rPr>
          <w:rtl w:val="0"/>
        </w:rPr>
      </w:r>
    </w:p>
    <w:p w:rsidR="00000000" w:rsidDel="00000000" w:rsidP="00000000" w:rsidRDefault="00000000" w:rsidRPr="00000000" w14:paraId="00000096">
      <w:pPr>
        <w:spacing w:after="40" w:before="80" w:lineRule="auto"/>
        <w:rPr>
          <w:sz w:val="22"/>
          <w:szCs w:val="22"/>
          <w:u w:val="single"/>
        </w:rPr>
      </w:pPr>
      <w:r w:rsidDel="00000000" w:rsidR="00000000" w:rsidRPr="00000000">
        <w:rPr>
          <w:rtl w:val="0"/>
        </w:rPr>
      </w:r>
    </w:p>
    <w:p w:rsidR="00000000" w:rsidDel="00000000" w:rsidP="00000000" w:rsidRDefault="00000000" w:rsidRPr="00000000" w14:paraId="00000097">
      <w:pPr>
        <w:tabs>
          <w:tab w:val="left" w:pos="308"/>
          <w:tab w:val="left" w:pos="2114"/>
          <w:tab w:val="left" w:pos="2422"/>
          <w:tab w:val="left" w:pos="4395"/>
          <w:tab w:val="left" w:pos="4732"/>
        </w:tabs>
        <w:rPr/>
      </w:pPr>
      <w:r w:rsidDel="00000000" w:rsidR="00000000" w:rsidRPr="00000000">
        <w:rPr>
          <w:sz w:val="24"/>
          <w:szCs w:val="24"/>
          <w:rtl w:val="0"/>
        </w:rPr>
        <w:t xml:space="preserve">☐</w:t>
        <w:tab/>
      </w:r>
      <w:r w:rsidDel="00000000" w:rsidR="00000000" w:rsidRPr="00000000">
        <w:rPr>
          <w:rtl w:val="0"/>
        </w:rPr>
        <w:t xml:space="preserve">ACTUAL</w:t>
        <w:tab/>
      </w:r>
      <w:r w:rsidDel="00000000" w:rsidR="00000000" w:rsidRPr="00000000">
        <w:rPr>
          <w:sz w:val="24"/>
          <w:szCs w:val="24"/>
          <w:rtl w:val="0"/>
        </w:rPr>
        <w:t xml:space="preserve">☐ </w:t>
        <w:tab/>
      </w:r>
      <w:r w:rsidDel="00000000" w:rsidR="00000000" w:rsidRPr="00000000">
        <w:rPr>
          <w:rtl w:val="0"/>
        </w:rPr>
        <w:t xml:space="preserve">POTENTIAL</w:t>
        <w:tab/>
      </w:r>
      <w:r w:rsidDel="00000000" w:rsidR="00000000" w:rsidRPr="00000000">
        <w:rPr>
          <w:sz w:val="24"/>
          <w:szCs w:val="24"/>
          <w:rtl w:val="0"/>
        </w:rPr>
        <w:t xml:space="preserve">☐</w:t>
        <w:tab/>
      </w:r>
      <w:r w:rsidDel="00000000" w:rsidR="00000000" w:rsidRPr="00000000">
        <w:rPr>
          <w:rtl w:val="0"/>
        </w:rPr>
        <w:t xml:space="preserve">PERCEIVED  </w:t>
      </w:r>
    </w:p>
    <w:p w:rsidR="00000000" w:rsidDel="00000000" w:rsidP="00000000" w:rsidRDefault="00000000" w:rsidRPr="00000000" w14:paraId="00000098">
      <w:pPr>
        <w:spacing w:after="40" w:before="80" w:lineRule="auto"/>
        <w:rPr>
          <w:i w:val="1"/>
          <w:sz w:val="22"/>
          <w:szCs w:val="22"/>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a brief outline of the nature of the conflict (details may be included in a separate confidential envelope, if appropriate).</w:t>
      </w:r>
    </w:p>
    <w:p w:rsidR="00000000" w:rsidDel="00000000" w:rsidP="00000000" w:rsidRDefault="00000000" w:rsidRPr="00000000" w14:paraId="0000009A">
      <w:pPr>
        <w:pBdr>
          <w:bottom w:color="000000" w:space="1" w:sz="4" w:val="single"/>
        </w:pBdr>
        <w:spacing w:after="40" w:before="80" w:lineRule="auto"/>
        <w:rPr>
          <w:i w:val="1"/>
          <w:sz w:val="22"/>
          <w:szCs w:val="22"/>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spacing w:after="40" w:before="80" w:lineRule="auto"/>
        <w:rPr>
          <w:sz w:val="22"/>
          <w:szCs w:val="22"/>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detail the arrangements proposed to resolve/manage the conflict (details may be included in a separate confidential envelope, if appropriate).</w:t>
      </w:r>
    </w:p>
    <w:p w:rsidR="00000000" w:rsidDel="00000000" w:rsidP="00000000" w:rsidRDefault="00000000" w:rsidRPr="00000000" w14:paraId="000000A1">
      <w:pPr>
        <w:pBdr>
          <w:bottom w:color="000000" w:space="1" w:sz="4" w:val="single"/>
        </w:pBdr>
        <w:spacing w:after="40" w:before="80" w:lineRule="auto"/>
        <w:rPr>
          <w:i w:val="1"/>
          <w:sz w:val="22"/>
          <w:szCs w:val="22"/>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2"/>
          <w:tab w:val="right" w:pos="6521"/>
          <w:tab w:val="left" w:pos="6621"/>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insert name in full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ab/>
        <w:tab/>
        <w:t xml:space="preserve">hereby agree to:</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681" w:right="0" w:hanging="227.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update this disclosure throughout the period of my tenure on the Committee of Management/Board or subcommittee of Elonera Pre School.</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681" w:right="0" w:hanging="227.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co-operate in the formulation of 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Conflict of interest management plan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required.</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681" w:right="0" w:hanging="227.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any conditions or restrictions imposed by the Committee of Management/Board or subcommittee to manage, mitigate or eliminate any actual, potential or perceived conflict of interest.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253"/>
          <w:tab w:val="left" w:pos="4536"/>
          <w:tab w:val="left" w:pos="7796"/>
        </w:tabs>
        <w:spacing w:after="60" w:before="7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4606"/>
        </w:tabs>
        <w:spacing w:after="17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w:t>
        <w:tab/>
        <w:t xml:space="preserve">Date</w:t>
      </w:r>
    </w:p>
    <w:sectPr>
      <w:footerReference r:id="rId12" w:type="default"/>
      <w:pgSz w:h="16838" w:w="11906" w:orient="portrait"/>
      <w:pgMar w:bottom="1134" w:top="1021" w:left="1418" w:right="1418" w:header="567"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070.0" w:type="dxa"/>
      <w:jc w:val="left"/>
      <w:tblInd w:w="0.0" w:type="pct"/>
      <w:tblBorders>
        <w:top w:color="000000" w:space="0" w:sz="4" w:val="single"/>
      </w:tblBorders>
      <w:tblLayout w:type="fixed"/>
      <w:tblLook w:val="0400"/>
    </w:tblPr>
    <w:tblGrid>
      <w:gridCol w:w="4533"/>
      <w:gridCol w:w="4537"/>
      <w:tblGridChange w:id="0">
        <w:tblGrid>
          <w:gridCol w:w="4533"/>
          <w:gridCol w:w="4537"/>
        </w:tblGrid>
      </w:tblGridChange>
    </w:tblGrid>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2014 Early Learning Association Australia</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Telephone 03 9489 3500 or 1300 730 119 (rural)</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Governance and Management of the Service Policy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(v2)</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Also known in some services as Board of Directors or Board of Management etc.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81" w:hanging="227.0000000000001"/>
      </w:pPr>
      <w:rPr>
        <w:rFonts w:ascii="Noto Sans Symbols" w:cs="Noto Sans Symbols" w:eastAsia="Noto Sans Symbols" w:hAnsi="Noto Sans Symbols"/>
        <w:color w:val="231f20"/>
      </w:rPr>
    </w:lvl>
    <w:lvl w:ilvl="1">
      <w:start w:val="1"/>
      <w:numFmt w:val="bullet"/>
      <w:lvlText w:val="−"/>
      <w:lvlJc w:val="left"/>
      <w:pPr>
        <w:ind w:left="681" w:hanging="227.0000000000001"/>
      </w:pPr>
      <w:rPr>
        <w:rFonts w:ascii="Noto Sans Symbols" w:cs="Noto Sans Symbols" w:eastAsia="Noto Sans Symbols" w:hAnsi="Noto Sans Symbols"/>
      </w:rPr>
    </w:lvl>
    <w:lvl w:ilvl="2">
      <w:start w:val="1"/>
      <w:numFmt w:val="bullet"/>
      <w:lvlText w:val="−"/>
      <w:lvlJc w:val="left"/>
      <w:pPr>
        <w:ind w:left="1134" w:hanging="225.9999999999999"/>
      </w:pPr>
      <w:rPr>
        <w:rFonts w:ascii="Noto Sans Symbols" w:cs="Noto Sans Symbols" w:eastAsia="Noto Sans Symbols" w:hAnsi="Noto Sans Symbols"/>
      </w:rPr>
    </w:lvl>
    <w:lvl w:ilvl="3">
      <w:start w:val="1"/>
      <w:numFmt w:val="decimal"/>
      <w:lvlText w:val="(%4)"/>
      <w:lvlJc w:val="left"/>
      <w:pPr>
        <w:ind w:left="1894" w:hanging="360"/>
      </w:pPr>
      <w:rPr/>
    </w:lvl>
    <w:lvl w:ilvl="4">
      <w:start w:val="1"/>
      <w:numFmt w:val="lowerLetter"/>
      <w:lvlText w:val="(%5)"/>
      <w:lvlJc w:val="left"/>
      <w:pPr>
        <w:ind w:left="2254" w:hanging="360"/>
      </w:pPr>
      <w:rPr/>
    </w:lvl>
    <w:lvl w:ilvl="5">
      <w:start w:val="1"/>
      <w:numFmt w:val="lowerRoman"/>
      <w:lvlText w:val="(%6)"/>
      <w:lvlJc w:val="left"/>
      <w:pPr>
        <w:ind w:left="2614" w:hanging="360"/>
      </w:pPr>
      <w:rPr/>
    </w:lvl>
    <w:lvl w:ilvl="6">
      <w:start w:val="1"/>
      <w:numFmt w:val="decimal"/>
      <w:lvlText w:val="%7."/>
      <w:lvlJc w:val="left"/>
      <w:pPr>
        <w:ind w:left="2974" w:hanging="360"/>
      </w:pPr>
      <w:rPr/>
    </w:lvl>
    <w:lvl w:ilvl="7">
      <w:start w:val="1"/>
      <w:numFmt w:val="lowerLetter"/>
      <w:lvlText w:val="%8."/>
      <w:lvlJc w:val="left"/>
      <w:pPr>
        <w:ind w:left="3334" w:hanging="360"/>
      </w:pPr>
      <w:rPr/>
    </w:lvl>
    <w:lvl w:ilvl="8">
      <w:start w:val="1"/>
      <w:numFmt w:val="lowerRoman"/>
      <w:lvlText w:val="%9."/>
      <w:lvlJc w:val="left"/>
      <w:pPr>
        <w:ind w:left="3694" w:hanging="360"/>
      </w:pPr>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9"/>
        <w:szCs w:val="19"/>
        <w:lang w:val="en-AU"/>
      </w:rPr>
    </w:rPrDefault>
    <w:pPrDefault>
      <w:pPr>
        <w:spacing w:after="17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60" w:line="240" w:lineRule="auto"/>
      <w:ind w:left="0" w:right="0" w:firstLine="0"/>
      <w:jc w:val="left"/>
    </w:pPr>
    <w:rPr>
      <w:rFonts w:ascii="Arial" w:cs="Arial" w:eastAsia="Arial" w:hAnsi="Arial"/>
      <w:b w:val="1"/>
      <w:i w:val="0"/>
      <w:smallCaps w:val="1"/>
      <w:strike w:val="0"/>
      <w:color w:val="000000"/>
      <w:sz w:val="24"/>
      <w:szCs w:val="2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00" w:line="240" w:lineRule="auto"/>
      <w:ind w:left="284" w:right="0" w:hanging="284"/>
      <w:jc w:val="left"/>
    </w:pPr>
    <w:rPr>
      <w:rFonts w:ascii="Arial" w:cs="Arial" w:eastAsia="Arial" w:hAnsi="Arial"/>
      <w:b w:val="1"/>
      <w:i w:val="0"/>
      <w:smallCaps w:val="1"/>
      <w:strike w:val="0"/>
      <w:color w:val="000000"/>
      <w:sz w:val="22"/>
      <w:szCs w:val="22"/>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left"/>
    </w:pPr>
    <w:rPr>
      <w:rFonts w:ascii="Arial" w:cs="Arial" w:eastAsia="Arial" w:hAnsi="Arial"/>
      <w:b w:val="1"/>
      <w:i w:val="0"/>
      <w:smallCaps w:val="1"/>
      <w:strike w:val="0"/>
      <w:color w:val="000000"/>
      <w:sz w:val="20"/>
      <w:szCs w:val="2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4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60" w:before="0" w:line="240" w:lineRule="auto"/>
      <w:ind w:left="0" w:right="0" w:firstLine="0"/>
      <w:jc w:val="left"/>
    </w:pPr>
    <w:rPr>
      <w:rFonts w:ascii="Arial" w:cs="Arial" w:eastAsia="Arial" w:hAnsi="Arial"/>
      <w:b w:val="1"/>
      <w:i w:val="0"/>
      <w:smallCaps w:val="1"/>
      <w:strike w:val="0"/>
      <w:color w:val="000000"/>
      <w:sz w:val="28"/>
      <w:szCs w:val="28"/>
      <w:u w:val="none"/>
      <w:shd w:fill="auto" w:val="clear"/>
      <w:vertAlign w:val="baseline"/>
    </w:rPr>
  </w:style>
  <w:style w:type="paragraph" w:styleId="Normal" w:default="1">
    <w:name w:val="Normal"/>
    <w:semiHidden w:val="1"/>
    <w:qFormat w:val="1"/>
    <w:rsid w:val="007B734B"/>
    <w:pPr>
      <w:spacing w:after="170"/>
    </w:pPr>
    <w:rPr>
      <w:sz w:val="19"/>
      <w:szCs w:val="19"/>
    </w:rPr>
  </w:style>
  <w:style w:type="paragraph" w:styleId="Heading1">
    <w:name w:val="heading 1"/>
    <w:next w:val="BodyText"/>
    <w:link w:val="Heading1Char"/>
    <w:qFormat w:val="1"/>
    <w:rsid w:val="007B734B"/>
    <w:pPr>
      <w:keepNext w:val="1"/>
      <w:keepLines w:val="1"/>
      <w:spacing w:after="100" w:before="360" w:line="280" w:lineRule="atLeast"/>
      <w:outlineLvl w:val="0"/>
    </w:pPr>
    <w:rPr>
      <w:rFonts w:cs="Arial" w:eastAsia="Times New Roman"/>
      <w:b w:val="1"/>
      <w:bCs w:val="1"/>
      <w:caps w:val="1"/>
      <w:color w:val="000000"/>
      <w:sz w:val="24"/>
      <w:szCs w:val="24"/>
      <w:lang w:eastAsia="en-AU"/>
    </w:rPr>
  </w:style>
  <w:style w:type="paragraph" w:styleId="Heading2">
    <w:name w:val="heading 2"/>
    <w:next w:val="BodyText"/>
    <w:link w:val="Heading2Char"/>
    <w:qFormat w:val="1"/>
    <w:rsid w:val="007354E5"/>
    <w:pPr>
      <w:numPr>
        <w:numId w:val="16"/>
      </w:numPr>
      <w:spacing w:after="60" w:before="200"/>
      <w:ind w:left="284" w:hanging="284"/>
      <w:outlineLvl w:val="1"/>
    </w:pPr>
    <w:rPr>
      <w:rFonts w:cs="Arial" w:eastAsia="Times New Roman"/>
      <w:b w:val="1"/>
      <w:bCs w:val="1"/>
      <w:caps w:val="1"/>
      <w:color w:val="000000"/>
      <w:sz w:val="22"/>
      <w:szCs w:val="22"/>
      <w:lang w:eastAsia="en-AU"/>
    </w:rPr>
  </w:style>
  <w:style w:type="paragraph" w:styleId="Heading3">
    <w:name w:val="heading 3"/>
    <w:next w:val="BodyText"/>
    <w:link w:val="Heading3Char"/>
    <w:qFormat w:val="1"/>
    <w:rsid w:val="007B734B"/>
    <w:pPr>
      <w:keepNext w:val="1"/>
      <w:spacing w:after="60" w:before="180" w:line="240" w:lineRule="atLeast"/>
      <w:outlineLvl w:val="2"/>
    </w:pPr>
    <w:rPr>
      <w:rFonts w:cs="Arial" w:eastAsia="Times New Roman"/>
      <w:b w:val="1"/>
      <w:bCs w:val="1"/>
      <w:caps w:val="1"/>
      <w:color w:val="000000"/>
      <w:lang w:eastAsia="en-AU"/>
    </w:rPr>
  </w:style>
  <w:style w:type="paragraph" w:styleId="Heading4">
    <w:name w:val="heading 4"/>
    <w:next w:val="BodyText"/>
    <w:link w:val="Heading4Char"/>
    <w:qFormat w:val="1"/>
    <w:rsid w:val="00A2425C"/>
    <w:pPr>
      <w:keepNext w:val="1"/>
      <w:spacing w:after="60" w:before="140" w:line="230" w:lineRule="atLeast"/>
      <w:outlineLvl w:val="3"/>
    </w:pPr>
    <w:rPr>
      <w:rFonts w:cs="Arial" w:eastAsia="Times New Roman"/>
      <w:b w:val="1"/>
      <w:bCs w:val="1"/>
      <w:snapToGrid w:val="0"/>
      <w:color w:val="000000"/>
      <w:szCs w:val="19"/>
      <w:lang w:eastAsia="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7B734B"/>
    <w:rPr>
      <w:rFonts w:cs="Arial" w:eastAsia="Times New Roman"/>
      <w:b w:val="1"/>
      <w:bCs w:val="1"/>
      <w:caps w:val="1"/>
      <w:color w:val="000000"/>
      <w:sz w:val="24"/>
      <w:szCs w:val="24"/>
      <w:lang w:bidi="ar-SA" w:eastAsia="en-AU" w:val="en-AU"/>
    </w:rPr>
  </w:style>
  <w:style w:type="paragraph" w:styleId="Title">
    <w:name w:val="Title"/>
    <w:next w:val="Normal"/>
    <w:link w:val="TitleChar"/>
    <w:uiPriority w:val="1"/>
    <w:qFormat w:val="1"/>
    <w:rsid w:val="007B734B"/>
    <w:pPr>
      <w:pBdr>
        <w:bottom w:color="auto" w:space="1" w:sz="4" w:val="single"/>
      </w:pBdr>
      <w:spacing w:after="60" w:line="320" w:lineRule="atLeast"/>
    </w:pPr>
    <w:rPr>
      <w:rFonts w:cs="Arial" w:eastAsia="Times New Roman"/>
      <w:b w:val="1"/>
      <w:bCs w:val="1"/>
      <w:caps w:val="1"/>
      <w:color w:val="000000"/>
      <w:sz w:val="28"/>
      <w:szCs w:val="28"/>
    </w:rPr>
  </w:style>
  <w:style w:type="character" w:styleId="TitleChar" w:customStyle="1">
    <w:name w:val="Title Char"/>
    <w:link w:val="Title"/>
    <w:uiPriority w:val="1"/>
    <w:rsid w:val="007B734B"/>
    <w:rPr>
      <w:rFonts w:cs="Arial" w:eastAsia="Times New Roman"/>
      <w:b w:val="1"/>
      <w:bCs w:val="1"/>
      <w:caps w:val="1"/>
      <w:color w:val="000000"/>
      <w:sz w:val="28"/>
      <w:szCs w:val="28"/>
      <w:lang w:bidi="ar-SA" w:eastAsia="en-US" w:val="en-AU"/>
    </w:rPr>
  </w:style>
  <w:style w:type="paragraph" w:styleId="Bullets2" w:customStyle="1">
    <w:name w:val="Bullets 2"/>
    <w:qFormat w:val="1"/>
    <w:rsid w:val="007B734B"/>
    <w:pPr>
      <w:numPr>
        <w:ilvl w:val="1"/>
        <w:numId w:val="20"/>
      </w:numPr>
      <w:spacing w:after="60" w:line="260" w:lineRule="atLeast"/>
    </w:pPr>
    <w:rPr>
      <w:szCs w:val="19"/>
      <w:lang w:eastAsia="en-AU"/>
    </w:rPr>
  </w:style>
  <w:style w:type="paragraph" w:styleId="Attachment1" w:customStyle="1">
    <w:name w:val="Attachment 1"/>
    <w:next w:val="Attachment2"/>
    <w:qFormat w:val="1"/>
    <w:rsid w:val="007B734B"/>
    <w:pPr>
      <w:pageBreakBefore w:val="1"/>
      <w:spacing w:after="40"/>
    </w:pPr>
    <w:rPr>
      <w:rFonts w:cs="Arial" w:eastAsia="Times New Roman"/>
      <w:b w:val="1"/>
      <w:bCs w:val="1"/>
      <w:caps w:val="1"/>
      <w:color w:val="000000"/>
      <w:sz w:val="24"/>
      <w:szCs w:val="24"/>
    </w:rPr>
  </w:style>
  <w:style w:type="paragraph" w:styleId="BodyText">
    <w:name w:val="Body Text"/>
    <w:link w:val="BodyTextChar"/>
    <w:qFormat w:val="1"/>
    <w:rsid w:val="007B734B"/>
    <w:pPr>
      <w:spacing w:after="170" w:before="60" w:line="260" w:lineRule="atLeast"/>
    </w:pPr>
    <w:rPr>
      <w:szCs w:val="19"/>
      <w:lang w:eastAsia="en-AU"/>
    </w:rPr>
  </w:style>
  <w:style w:type="character" w:styleId="BodyTextChar" w:customStyle="1">
    <w:name w:val="Body Text Char"/>
    <w:link w:val="BodyText"/>
    <w:rsid w:val="007B734B"/>
    <w:rPr>
      <w:szCs w:val="19"/>
      <w:lang w:bidi="ar-SA" w:eastAsia="en-AU" w:val="en-AU"/>
    </w:rPr>
  </w:style>
  <w:style w:type="character" w:styleId="Heading2Char" w:customStyle="1">
    <w:name w:val="Heading 2 Char"/>
    <w:link w:val="Heading2"/>
    <w:rsid w:val="007354E5"/>
    <w:rPr>
      <w:rFonts w:cs="Arial" w:eastAsia="Times New Roman"/>
      <w:b w:val="1"/>
      <w:bCs w:val="1"/>
      <w:caps w:val="1"/>
      <w:color w:val="000000"/>
      <w:sz w:val="22"/>
      <w:szCs w:val="22"/>
      <w:lang w:bidi="ar-SA" w:eastAsia="en-AU" w:val="en-AU"/>
    </w:rPr>
  </w:style>
  <w:style w:type="character" w:styleId="Heading3Char" w:customStyle="1">
    <w:name w:val="Heading 3 Char"/>
    <w:link w:val="Heading3"/>
    <w:rsid w:val="007B734B"/>
    <w:rPr>
      <w:rFonts w:cs="Arial" w:eastAsia="Times New Roman"/>
      <w:b w:val="1"/>
      <w:bCs w:val="1"/>
      <w:caps w:val="1"/>
      <w:color w:val="000000"/>
      <w:lang w:bidi="ar-SA" w:eastAsia="en-AU" w:val="en-AU"/>
    </w:rPr>
  </w:style>
  <w:style w:type="character" w:styleId="Heading4Char" w:customStyle="1">
    <w:name w:val="Heading 4 Char"/>
    <w:link w:val="Heading4"/>
    <w:rsid w:val="00A2425C"/>
    <w:rPr>
      <w:rFonts w:cs="Arial" w:eastAsia="Times New Roman"/>
      <w:b w:val="1"/>
      <w:bCs w:val="1"/>
      <w:snapToGrid w:val="0"/>
      <w:color w:val="000000"/>
      <w:szCs w:val="19"/>
      <w:lang w:bidi="ar-SA" w:eastAsia="en-AU" w:val="en-AU"/>
    </w:rPr>
  </w:style>
  <w:style w:type="numbering" w:styleId="Bullets" w:customStyle="1">
    <w:name w:val="Bullets"/>
    <w:uiPriority w:val="99"/>
    <w:locked w:val="1"/>
    <w:rsid w:val="007B734B"/>
    <w:pPr>
      <w:numPr>
        <w:numId w:val="1"/>
      </w:numPr>
    </w:pPr>
  </w:style>
  <w:style w:type="paragraph" w:styleId="Bullets1" w:customStyle="1">
    <w:name w:val="Bullets 1"/>
    <w:qFormat w:val="1"/>
    <w:rsid w:val="007B734B"/>
    <w:pPr>
      <w:numPr>
        <w:numId w:val="20"/>
      </w:numPr>
      <w:spacing w:after="60" w:line="260" w:lineRule="atLeast"/>
    </w:pPr>
    <w:rPr>
      <w:szCs w:val="19"/>
      <w:lang w:eastAsia="en-AU"/>
    </w:rPr>
  </w:style>
  <w:style w:type="paragraph" w:styleId="Header">
    <w:name w:val="header"/>
    <w:basedOn w:val="Normal"/>
    <w:link w:val="HeaderChar"/>
    <w:uiPriority w:val="99"/>
    <w:unhideWhenUsed w:val="1"/>
    <w:rsid w:val="007B734B"/>
    <w:pPr>
      <w:tabs>
        <w:tab w:val="center" w:pos="4513"/>
        <w:tab w:val="right" w:pos="9026"/>
      </w:tabs>
      <w:spacing w:after="0"/>
    </w:pPr>
  </w:style>
  <w:style w:type="character" w:styleId="HeaderChar" w:customStyle="1">
    <w:name w:val="Header Char"/>
    <w:basedOn w:val="DefaultParagraphFont"/>
    <w:link w:val="Header"/>
    <w:uiPriority w:val="99"/>
    <w:rsid w:val="007B734B"/>
  </w:style>
  <w:style w:type="paragraph" w:styleId="Footer">
    <w:name w:val="footer"/>
    <w:basedOn w:val="Normal"/>
    <w:link w:val="FooterChar"/>
    <w:uiPriority w:val="99"/>
    <w:unhideWhenUsed w:val="1"/>
    <w:rsid w:val="007B734B"/>
    <w:pPr>
      <w:tabs>
        <w:tab w:val="center" w:pos="4513"/>
        <w:tab w:val="right" w:pos="9026"/>
      </w:tabs>
      <w:spacing w:after="0"/>
    </w:pPr>
    <w:rPr>
      <w:rFonts w:cs="Arial"/>
      <w:sz w:val="16"/>
      <w:szCs w:val="16"/>
    </w:rPr>
  </w:style>
  <w:style w:type="character" w:styleId="FooterChar" w:customStyle="1">
    <w:name w:val="Footer Char"/>
    <w:link w:val="Footer"/>
    <w:uiPriority w:val="99"/>
    <w:rsid w:val="007B734B"/>
    <w:rPr>
      <w:rFonts w:cs="Arial"/>
      <w:sz w:val="16"/>
      <w:szCs w:val="16"/>
    </w:rPr>
  </w:style>
  <w:style w:type="table" w:styleId="TableGrid">
    <w:name w:val="Table Grid"/>
    <w:basedOn w:val="TableNormal"/>
    <w:uiPriority w:val="59"/>
    <w:locked w:val="1"/>
    <w:rsid w:val="007B734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andatory" w:customStyle="1">
    <w:name w:val="Mandatory"/>
    <w:qFormat w:val="1"/>
    <w:rsid w:val="007B734B"/>
    <w:pPr>
      <w:spacing w:after="720" w:line="230" w:lineRule="atLeast"/>
    </w:pPr>
    <w:rPr>
      <w:rFonts w:cs="Arial" w:eastAsia="Times New Roman"/>
      <w:b w:val="1"/>
      <w:bCs w:val="1"/>
      <w:color w:val="000000"/>
      <w:sz w:val="19"/>
      <w:szCs w:val="19"/>
      <w:lang w:eastAsia="en-AU"/>
    </w:rPr>
  </w:style>
  <w:style w:type="paragraph" w:styleId="Attachment2" w:customStyle="1">
    <w:name w:val="Attachment 2"/>
    <w:next w:val="BodyText"/>
    <w:qFormat w:val="1"/>
    <w:rsid w:val="007B734B"/>
    <w:pPr>
      <w:spacing w:after="720"/>
    </w:pPr>
    <w:rPr>
      <w:rFonts w:cs="Arial" w:eastAsia="Times New Roman"/>
      <w:b w:val="1"/>
      <w:bCs w:val="1"/>
      <w:color w:val="000000"/>
      <w:sz w:val="24"/>
      <w:szCs w:val="24"/>
    </w:rPr>
  </w:style>
  <w:style w:type="paragraph" w:styleId="Bullets3" w:customStyle="1">
    <w:name w:val="Bullets 3"/>
    <w:qFormat w:val="1"/>
    <w:rsid w:val="007B734B"/>
    <w:pPr>
      <w:numPr>
        <w:ilvl w:val="2"/>
        <w:numId w:val="20"/>
      </w:numPr>
      <w:spacing w:after="60" w:line="260" w:lineRule="atLeast"/>
    </w:pPr>
    <w:rPr>
      <w:szCs w:val="19"/>
      <w:lang w:eastAsia="en-AU"/>
    </w:rPr>
  </w:style>
  <w:style w:type="paragraph" w:styleId="BodyText3ptAfter" w:customStyle="1">
    <w:name w:val="Body Text 3pt After"/>
    <w:basedOn w:val="BodyText"/>
    <w:qFormat w:val="1"/>
    <w:rsid w:val="007B734B"/>
    <w:pPr>
      <w:spacing w:after="60"/>
    </w:pPr>
  </w:style>
  <w:style w:type="paragraph" w:styleId="BalloonText">
    <w:name w:val="Balloon Text"/>
    <w:basedOn w:val="Normal"/>
    <w:link w:val="BalloonTextChar"/>
    <w:uiPriority w:val="99"/>
    <w:semiHidden w:val="1"/>
    <w:unhideWhenUsed w:val="1"/>
    <w:rsid w:val="007B734B"/>
    <w:pPr>
      <w:spacing w:after="0"/>
    </w:pPr>
    <w:rPr>
      <w:rFonts w:ascii="Tahoma" w:cs="Tahoma" w:hAnsi="Tahoma"/>
      <w:sz w:val="16"/>
      <w:szCs w:val="16"/>
    </w:rPr>
  </w:style>
  <w:style w:type="character" w:styleId="BalloonTextChar" w:customStyle="1">
    <w:name w:val="Balloon Text Char"/>
    <w:link w:val="BalloonText"/>
    <w:uiPriority w:val="99"/>
    <w:semiHidden w:val="1"/>
    <w:rsid w:val="007B734B"/>
    <w:rPr>
      <w:rFonts w:ascii="Tahoma" w:cs="Tahoma" w:hAnsi="Tahoma"/>
      <w:sz w:val="16"/>
      <w:szCs w:val="16"/>
    </w:rPr>
  </w:style>
  <w:style w:type="character" w:styleId="Hyperlink">
    <w:name w:val="Hyperlink"/>
    <w:unhideWhenUsed w:val="1"/>
    <w:rsid w:val="007B734B"/>
    <w:rPr>
      <w:color w:val="0000ff"/>
      <w:u w:val="single"/>
    </w:rPr>
  </w:style>
  <w:style w:type="paragraph" w:styleId="FootnoteText">
    <w:name w:val="footnote text"/>
    <w:basedOn w:val="Normal"/>
    <w:link w:val="FootnoteTextChar"/>
    <w:uiPriority w:val="99"/>
    <w:unhideWhenUsed w:val="1"/>
    <w:rsid w:val="00A2425C"/>
    <w:pPr>
      <w:spacing w:after="0"/>
    </w:pPr>
    <w:rPr>
      <w:rFonts w:eastAsia="Times New Roman"/>
      <w:snapToGrid w:val="0"/>
      <w:sz w:val="18"/>
      <w:szCs w:val="20"/>
    </w:rPr>
  </w:style>
  <w:style w:type="character" w:styleId="FootnoteTextChar" w:customStyle="1">
    <w:name w:val="Footnote Text Char"/>
    <w:link w:val="FootnoteText"/>
    <w:uiPriority w:val="99"/>
    <w:rsid w:val="00A2425C"/>
    <w:rPr>
      <w:rFonts w:cs="Times New Roman" w:eastAsia="Times New Roman"/>
      <w:snapToGrid w:val="0"/>
      <w:sz w:val="18"/>
      <w:szCs w:val="20"/>
    </w:rPr>
  </w:style>
  <w:style w:type="character" w:styleId="FootnoteReference">
    <w:name w:val="footnote reference"/>
    <w:uiPriority w:val="99"/>
    <w:semiHidden w:val="1"/>
    <w:unhideWhenUsed w:val="1"/>
    <w:rsid w:val="00B27451"/>
    <w:rPr>
      <w:color w:val="auto"/>
      <w:vertAlign w:val="superscript"/>
    </w:rPr>
  </w:style>
  <w:style w:type="paragraph" w:styleId="AttachmentNumberedHeading1" w:customStyle="1">
    <w:name w:val="Attachment Numbered Heading 1"/>
    <w:qFormat w:val="1"/>
    <w:rsid w:val="007B734B"/>
    <w:pPr>
      <w:numPr>
        <w:numId w:val="22"/>
      </w:numPr>
      <w:spacing w:after="60" w:before="200"/>
    </w:pPr>
    <w:rPr>
      <w:rFonts w:ascii="Arial Bold" w:cs="Arial" w:eastAsia="Times New Roman" w:hAnsi="Arial Bold"/>
      <w:b w:val="1"/>
      <w:bCs w:val="1"/>
      <w:color w:val="000000"/>
      <w:sz w:val="22"/>
      <w:szCs w:val="22"/>
      <w:lang w:eastAsia="en-AU"/>
    </w:rPr>
  </w:style>
  <w:style w:type="paragraph" w:styleId="AttachmentNumberedHeading2" w:customStyle="1">
    <w:name w:val="Attachment Numbered Heading 2"/>
    <w:next w:val="BodyText"/>
    <w:qFormat w:val="1"/>
    <w:rsid w:val="007B734B"/>
    <w:pPr>
      <w:numPr>
        <w:ilvl w:val="1"/>
        <w:numId w:val="22"/>
      </w:numPr>
      <w:spacing w:before="140" w:line="260" w:lineRule="atLeast"/>
    </w:pPr>
    <w:rPr>
      <w:rFonts w:cs="Arial" w:eastAsia="Times New Roman"/>
      <w:b w:val="1"/>
      <w:bCs w:val="1"/>
      <w:color w:val="000000"/>
      <w:lang w:eastAsia="en-AU"/>
    </w:rPr>
  </w:style>
  <w:style w:type="paragraph" w:styleId="Tablebullets" w:customStyle="1">
    <w:name w:val="Table bullets"/>
    <w:basedOn w:val="Normal"/>
    <w:qFormat w:val="1"/>
    <w:rsid w:val="007B734B"/>
    <w:pPr>
      <w:numPr>
        <w:numId w:val="23"/>
      </w:numPr>
      <w:tabs>
        <w:tab w:val="left" w:pos="284"/>
      </w:tabs>
      <w:spacing w:after="40" w:before="40" w:line="260" w:lineRule="atLeast"/>
    </w:pPr>
    <w:rPr>
      <w:rFonts w:cs="Tms Rmn" w:eastAsia="Times New Roman"/>
      <w:snapToGrid w:val="0"/>
      <w:sz w:val="20"/>
      <w:szCs w:val="20"/>
      <w:lang w:val="en-GB"/>
    </w:rPr>
  </w:style>
  <w:style w:type="paragraph" w:styleId="Tablecolumnhead" w:customStyle="1">
    <w:name w:val="Table column head"/>
    <w:basedOn w:val="Normal"/>
    <w:qFormat w:val="1"/>
    <w:rsid w:val="007B734B"/>
    <w:pPr>
      <w:spacing w:after="40" w:before="40"/>
    </w:pPr>
    <w:rPr>
      <w:rFonts w:cs="Tms Rmn" w:eastAsia="Times New Roman"/>
      <w:b w:val="1"/>
      <w:snapToGrid w:val="0"/>
      <w:sz w:val="20"/>
      <w:szCs w:val="20"/>
      <w:lang w:val="en-GB"/>
    </w:rPr>
  </w:style>
  <w:style w:type="paragraph" w:styleId="Tabletext" w:customStyle="1">
    <w:name w:val="Table text"/>
    <w:basedOn w:val="Normal"/>
    <w:qFormat w:val="1"/>
    <w:rsid w:val="007B734B"/>
    <w:pPr>
      <w:spacing w:after="40" w:before="40" w:line="260" w:lineRule="atLeast"/>
    </w:pPr>
    <w:rPr>
      <w:rFonts w:cs="Tms Rmn" w:eastAsia="Times New Roman"/>
      <w:snapToGrid w:val="0"/>
      <w:sz w:val="20"/>
      <w:szCs w:val="20"/>
      <w:lang w:val="en-GB"/>
    </w:rPr>
  </w:style>
  <w:style w:type="paragraph" w:styleId="BodyText85ptBefore" w:customStyle="1">
    <w:name w:val="Body Text 8.5pt Before"/>
    <w:basedOn w:val="BodyText3ptAfter"/>
    <w:qFormat w:val="1"/>
    <w:rsid w:val="007B734B"/>
    <w:pPr>
      <w:spacing w:before="170"/>
    </w:pPr>
  </w:style>
  <w:style w:type="paragraph" w:styleId="SignatureLine" w:customStyle="1">
    <w:name w:val="Signature Line"/>
    <w:basedOn w:val="BodyText"/>
    <w:qFormat w:val="1"/>
    <w:rsid w:val="007B734B"/>
    <w:pPr>
      <w:tabs>
        <w:tab w:val="right" w:leader="underscore" w:pos="4253"/>
        <w:tab w:val="left" w:pos="4536"/>
        <w:tab w:val="left" w:leader="underscore" w:pos="7796"/>
      </w:tabs>
      <w:spacing w:after="60" w:before="720"/>
    </w:pPr>
  </w:style>
  <w:style w:type="paragraph" w:styleId="SubHeading" w:customStyle="1">
    <w:name w:val="Sub Heading"/>
    <w:basedOn w:val="Normal"/>
    <w:rsid w:val="007B734B"/>
    <w:pPr>
      <w:spacing w:after="40" w:before="80" w:line="280" w:lineRule="atLeast"/>
    </w:pPr>
    <w:rPr>
      <w:rFonts w:cs="Tms Rmn" w:eastAsia="Times New Roman"/>
      <w:b w:val="1"/>
      <w:snapToGrid w:val="0"/>
      <w:sz w:val="22"/>
      <w:szCs w:val="22"/>
    </w:rPr>
  </w:style>
  <w:style w:type="paragraph" w:styleId="Policylist1" w:customStyle="1">
    <w:name w:val="Policy list 1"/>
    <w:aliases w:val="2,3"/>
    <w:basedOn w:val="Normal"/>
    <w:qFormat w:val="1"/>
    <w:rsid w:val="007B734B"/>
    <w:pPr>
      <w:numPr>
        <w:numId w:val="24"/>
      </w:numPr>
      <w:tabs>
        <w:tab w:val="left" w:pos="284"/>
      </w:tabs>
      <w:spacing w:after="60" w:line="260" w:lineRule="atLeast"/>
    </w:pPr>
    <w:rPr>
      <w:rFonts w:cs="Tms Rmn" w:eastAsia="Times New Roman"/>
      <w:snapToGrid w:val="0"/>
      <w:sz w:val="20"/>
      <w:szCs w:val="20"/>
      <w:lang w:val="en-US"/>
    </w:rPr>
  </w:style>
  <w:style w:type="paragraph" w:styleId="SignatureCaption" w:customStyle="1">
    <w:name w:val="Signature Caption"/>
    <w:basedOn w:val="BodyText"/>
    <w:qFormat w:val="1"/>
    <w:rsid w:val="007B734B"/>
    <w:pPr>
      <w:tabs>
        <w:tab w:val="left" w:pos="4536"/>
      </w:tabs>
    </w:pPr>
  </w:style>
  <w:style w:type="paragraph" w:styleId="Policytext" w:customStyle="1">
    <w:name w:val="Policy text"/>
    <w:link w:val="PolicytextChar"/>
    <w:rsid w:val="003410DC"/>
    <w:pPr>
      <w:spacing w:after="40" w:before="80" w:line="280" w:lineRule="atLeast"/>
    </w:pPr>
    <w:rPr>
      <w:rFonts w:eastAsia="Times New Roman"/>
      <w:snapToGrid w:val="0"/>
      <w:sz w:val="22"/>
      <w:szCs w:val="22"/>
      <w:lang w:eastAsia="en-AU"/>
    </w:rPr>
  </w:style>
  <w:style w:type="paragraph" w:styleId="Policybullets" w:customStyle="1">
    <w:name w:val="Policy bullets"/>
    <w:basedOn w:val="Policytext"/>
    <w:rsid w:val="003410DC"/>
    <w:pPr>
      <w:tabs>
        <w:tab w:val="num" w:pos="360"/>
      </w:tabs>
      <w:ind w:left="284" w:hanging="284"/>
    </w:pPr>
  </w:style>
  <w:style w:type="paragraph" w:styleId="ListParagraph">
    <w:name w:val="List Paragraph"/>
    <w:basedOn w:val="Normal"/>
    <w:uiPriority w:val="34"/>
    <w:qFormat w:val="1"/>
    <w:rsid w:val="003410DC"/>
    <w:pPr>
      <w:spacing w:after="120"/>
      <w:ind w:left="720"/>
      <w:contextualSpacing w:val="1"/>
    </w:pPr>
    <w:rPr>
      <w:rFonts w:eastAsia="Times New Roman"/>
      <w:sz w:val="22"/>
      <w:szCs w:val="20"/>
    </w:rPr>
  </w:style>
  <w:style w:type="character" w:styleId="CommentReference">
    <w:name w:val="annotation reference"/>
    <w:uiPriority w:val="99"/>
    <w:semiHidden w:val="1"/>
    <w:unhideWhenUsed w:val="1"/>
    <w:rsid w:val="003410DC"/>
    <w:rPr>
      <w:sz w:val="16"/>
      <w:szCs w:val="16"/>
    </w:rPr>
  </w:style>
  <w:style w:type="paragraph" w:styleId="CommentText">
    <w:name w:val="annotation text"/>
    <w:basedOn w:val="Normal"/>
    <w:link w:val="CommentTextChar"/>
    <w:uiPriority w:val="99"/>
    <w:semiHidden w:val="1"/>
    <w:unhideWhenUsed w:val="1"/>
    <w:rsid w:val="003410DC"/>
    <w:pPr>
      <w:spacing w:after="0"/>
    </w:pPr>
    <w:rPr>
      <w:rFonts w:ascii="Times New Roman" w:eastAsia="Times New Roman" w:hAnsi="Times New Roman"/>
      <w:sz w:val="20"/>
      <w:szCs w:val="20"/>
    </w:rPr>
  </w:style>
  <w:style w:type="character" w:styleId="CommentTextChar" w:customStyle="1">
    <w:name w:val="Comment Text Char"/>
    <w:link w:val="CommentText"/>
    <w:uiPriority w:val="99"/>
    <w:semiHidden w:val="1"/>
    <w:rsid w:val="003410DC"/>
    <w:rPr>
      <w:rFonts w:ascii="Times New Roman" w:cs="Times New Roman" w:eastAsia="Times New Roman" w:hAnsi="Times New Roman"/>
      <w:sz w:val="20"/>
      <w:szCs w:val="20"/>
    </w:rPr>
  </w:style>
  <w:style w:type="character" w:styleId="PolicytextChar" w:customStyle="1">
    <w:name w:val="Policy text Char"/>
    <w:link w:val="Policytext"/>
    <w:rsid w:val="003410DC"/>
    <w:rPr>
      <w:rFonts w:cs="Times New Roman" w:eastAsia="Times New Roman"/>
      <w:snapToGrid w:val="0"/>
      <w:sz w:val="22"/>
      <w:szCs w:val="22"/>
      <w:lang w:bidi="ar-SA"/>
    </w:rPr>
  </w:style>
  <w:style w:type="paragraph" w:styleId="PolicyHeading2" w:customStyle="1">
    <w:name w:val="Policy Heading 2"/>
    <w:basedOn w:val="Normal"/>
    <w:qFormat w:val="1"/>
    <w:rsid w:val="00B27451"/>
    <w:pPr>
      <w:spacing w:after="0"/>
    </w:pPr>
    <w:rPr>
      <w:rFonts w:eastAsia="Calibri"/>
      <w:b w:val="1"/>
      <w:sz w:val="24"/>
      <w:szCs w:val="22"/>
    </w:rPr>
  </w:style>
  <w:style w:type="paragraph" w:styleId="Default" w:customStyle="1">
    <w:name w:val="Default"/>
    <w:rsid w:val="00763BB3"/>
    <w:pPr>
      <w:autoSpaceDE w:val="0"/>
      <w:autoSpaceDN w:val="0"/>
      <w:adjustRightInd w:val="0"/>
    </w:pPr>
    <w:rPr>
      <w:rFonts w:ascii="Times New Roman" w:eastAsia="Calibri" w:hAnsi="Times New Roman"/>
      <w:color w:val="000000"/>
      <w:sz w:val="24"/>
      <w:szCs w:val="24"/>
      <w:lang w:eastAsia="en-AU"/>
    </w:rPr>
  </w:style>
  <w:style w:type="paragraph" w:styleId="Line" w:customStyle="1">
    <w:name w:val="Line"/>
    <w:basedOn w:val="Normal"/>
    <w:next w:val="Linebetween"/>
    <w:qFormat w:val="1"/>
    <w:rsid w:val="00A2425C"/>
    <w:pPr>
      <w:pBdr>
        <w:bottom w:color="auto" w:space="1" w:sz="4" w:val="single"/>
      </w:pBdr>
      <w:spacing w:after="0"/>
    </w:pPr>
    <w:rPr>
      <w:rFonts w:cs="Arial"/>
      <w:i w:val="1"/>
      <w:snapToGrid w:val="0"/>
      <w:sz w:val="22"/>
      <w:szCs w:val="22"/>
    </w:rPr>
  </w:style>
  <w:style w:type="paragraph" w:styleId="Linebetween" w:customStyle="1">
    <w:name w:val="Line between"/>
    <w:basedOn w:val="Normal"/>
    <w:next w:val="Line"/>
    <w:qFormat w:val="1"/>
    <w:rsid w:val="00A2425C"/>
    <w:pPr>
      <w:spacing w:after="0"/>
    </w:pPr>
    <w:rPr>
      <w:rFonts w:cs="Arial"/>
      <w:i w:val="1"/>
      <w:snapToGrid w:val="0"/>
      <w:sz w:val="22"/>
      <w:szCs w:val="22"/>
    </w:rPr>
  </w:style>
  <w:style w:type="paragraph" w:styleId="CommentSubject">
    <w:name w:val="annotation subject"/>
    <w:basedOn w:val="CommentText"/>
    <w:next w:val="CommentText"/>
    <w:link w:val="CommentSubjectChar"/>
    <w:uiPriority w:val="99"/>
    <w:semiHidden w:val="1"/>
    <w:unhideWhenUsed w:val="1"/>
    <w:rsid w:val="0073787F"/>
    <w:pPr>
      <w:spacing w:after="170"/>
    </w:pPr>
    <w:rPr>
      <w:rFonts w:ascii="Arial" w:eastAsia="Arial" w:hAnsi="Arial"/>
      <w:b w:val="1"/>
      <w:bCs w:val="1"/>
    </w:rPr>
  </w:style>
  <w:style w:type="character" w:styleId="CommentSubjectChar" w:customStyle="1">
    <w:name w:val="Comment Subject Char"/>
    <w:link w:val="CommentSubject"/>
    <w:uiPriority w:val="99"/>
    <w:semiHidden w:val="1"/>
    <w:rsid w:val="0073787F"/>
    <w:rPr>
      <w:rFonts w:ascii="Times New Roman" w:cs="Times New Roman" w:eastAsia="Times New Roman" w:hAnsi="Times New Roman"/>
      <w:b w:val="1"/>
      <w:bCs w:val="1"/>
      <w:sz w:val="20"/>
      <w:szCs w:val="20"/>
      <w:lang w:eastAsia="en-US"/>
    </w:rPr>
  </w:style>
  <w:style w:type="character" w:styleId="FollowedHyperlink">
    <w:name w:val="FollowedHyperlink"/>
    <w:uiPriority w:val="99"/>
    <w:semiHidden w:val="1"/>
    <w:unhideWhenUsed w:val="1"/>
    <w:rsid w:val="00B35070"/>
    <w:rPr>
      <w:color w:val="800080"/>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7.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www.justiceconnect.org.au/" TargetMode="External"/><Relationship Id="rId10" Type="http://schemas.openxmlformats.org/officeDocument/2006/relationships/hyperlink" Target="http://www.ourcommunity.com.au" TargetMode="Externa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F51AQMOFVBmI7ErgIk2yhmpSfg==">AMUW2mU8DeGhc1OovZkseopRAziMm9sEJF68hoaQ2/WN/h8FIH3H7Sh7fko7uDv6WVx2cBjqqHpHozTwkLnzRii4om2dQaJ7uPFE1xjEmDMUTTjZcoYlOlTOxHR/Rr8sJ+o/iUcwNsIj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2019-10-13T09:14:00Z</dcterms:created>
  <dc:creator>Tanya Jhoomun;Gina Ravensdale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